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8646BCB" w14:textId="77777777" w:rsidR="00D80AFB" w:rsidRDefault="00D80AFB" w:rsidP="00842A15">
      <w:pPr>
        <w:pStyle w:val="Heading1"/>
        <w:pBdr>
          <w:bottom w:val="single" w:sz="4" w:space="1" w:color="auto"/>
        </w:pBdr>
        <w:spacing w:before="100" w:beforeAutospacing="1" w:after="100" w:afterAutospacing="1" w:line="276" w:lineRule="auto"/>
        <w:ind w:left="0" w:right="120"/>
        <w:jc w:val="center"/>
        <w:rPr>
          <w:spacing w:val="1"/>
        </w:rPr>
      </w:pPr>
    </w:p>
    <w:p w14:paraId="3BD49279" w14:textId="426F06CB" w:rsidR="00E016B4" w:rsidRPr="00842A15" w:rsidRDefault="00842A15" w:rsidP="00842A15">
      <w:pPr>
        <w:pStyle w:val="Heading1"/>
        <w:pBdr>
          <w:bottom w:val="single" w:sz="4" w:space="1" w:color="auto"/>
        </w:pBdr>
        <w:spacing w:before="100" w:beforeAutospacing="1" w:after="100" w:afterAutospacing="1" w:line="276" w:lineRule="auto"/>
        <w:ind w:left="0" w:right="120"/>
        <w:jc w:val="center"/>
      </w:pPr>
      <w:r w:rsidRPr="00842A15">
        <w:rPr>
          <w:spacing w:val="1"/>
        </w:rPr>
        <w:t xml:space="preserve">QUARTER 4 </w:t>
      </w:r>
      <w:r w:rsidRPr="00842A15">
        <w:t>FY</w:t>
      </w:r>
      <w:r w:rsidRPr="00842A15">
        <w:rPr>
          <w:spacing w:val="1"/>
        </w:rPr>
        <w:t xml:space="preserve"> </w:t>
      </w:r>
      <w:r w:rsidRPr="00842A15">
        <w:t>2025/2026</w:t>
      </w:r>
      <w:r>
        <w:t xml:space="preserve"> </w:t>
      </w:r>
      <w:r w:rsidR="00280951" w:rsidRPr="00842A15">
        <w:t>CONSUMER</w:t>
      </w:r>
      <w:r w:rsidR="00280951" w:rsidRPr="00842A15">
        <w:rPr>
          <w:spacing w:val="1"/>
        </w:rPr>
        <w:t xml:space="preserve"> </w:t>
      </w:r>
      <w:r w:rsidR="00280951" w:rsidRPr="00842A15">
        <w:t>COMPLAINTS</w:t>
      </w:r>
      <w:r w:rsidR="00280951" w:rsidRPr="00842A15">
        <w:rPr>
          <w:spacing w:val="1"/>
        </w:rPr>
        <w:t xml:space="preserve"> </w:t>
      </w:r>
      <w:r w:rsidRPr="00842A15">
        <w:t>REPORT</w:t>
      </w:r>
    </w:p>
    <w:p w14:paraId="15437C62" w14:textId="546C44ED" w:rsidR="00EA08CC" w:rsidRPr="00842A15" w:rsidRDefault="007533F9" w:rsidP="00842A15">
      <w:pPr>
        <w:pStyle w:val="ListParagraph"/>
        <w:numPr>
          <w:ilvl w:val="0"/>
          <w:numId w:val="4"/>
        </w:numPr>
        <w:spacing w:before="100" w:beforeAutospacing="1" w:after="100" w:afterAutospacing="1" w:line="276" w:lineRule="auto"/>
        <w:ind w:right="119"/>
        <w:jc w:val="both"/>
        <w:rPr>
          <w:b/>
          <w:bCs/>
          <w:sz w:val="24"/>
          <w:szCs w:val="24"/>
        </w:rPr>
      </w:pPr>
      <w:r w:rsidRPr="00842A15">
        <w:rPr>
          <w:b/>
          <w:bCs/>
          <w:sz w:val="24"/>
          <w:szCs w:val="24"/>
        </w:rPr>
        <w:t>Executive</w:t>
      </w:r>
      <w:r w:rsidR="00EA08CC" w:rsidRPr="00842A15">
        <w:rPr>
          <w:b/>
          <w:bCs/>
          <w:sz w:val="24"/>
          <w:szCs w:val="24"/>
        </w:rPr>
        <w:t xml:space="preserve"> Summary </w:t>
      </w:r>
    </w:p>
    <w:p w14:paraId="52612B15" w14:textId="01716986" w:rsidR="00EA08CC" w:rsidRPr="00842A15" w:rsidRDefault="00EA08CC" w:rsidP="00842A15">
      <w:pPr>
        <w:spacing w:before="100" w:beforeAutospacing="1" w:after="100" w:afterAutospacing="1" w:line="276" w:lineRule="auto"/>
        <w:jc w:val="both"/>
        <w:rPr>
          <w:sz w:val="24"/>
          <w:szCs w:val="24"/>
        </w:rPr>
      </w:pPr>
      <w:r w:rsidRPr="00842A15">
        <w:rPr>
          <w:sz w:val="24"/>
          <w:szCs w:val="24"/>
        </w:rPr>
        <w:t xml:space="preserve">Consumer complaint trends are a key source of regulatory intelligence on emerging risks affecting consumers </w:t>
      </w:r>
      <w:r w:rsidR="00141E6F">
        <w:rPr>
          <w:sz w:val="24"/>
          <w:szCs w:val="24"/>
        </w:rPr>
        <w:t>in the ICT</w:t>
      </w:r>
      <w:r w:rsidRPr="00842A15">
        <w:rPr>
          <w:sz w:val="24"/>
          <w:szCs w:val="24"/>
        </w:rPr>
        <w:t xml:space="preserve"> sector</w:t>
      </w:r>
      <w:r w:rsidR="00842A15">
        <w:rPr>
          <w:sz w:val="24"/>
          <w:szCs w:val="24"/>
        </w:rPr>
        <w:t xml:space="preserve">. These </w:t>
      </w:r>
      <w:r w:rsidRPr="00842A15">
        <w:rPr>
          <w:sz w:val="24"/>
          <w:szCs w:val="24"/>
        </w:rPr>
        <w:t xml:space="preserve">serve to guide regulatory decisions, market interventions and policy enhancements aimed at ensuring that communications services in Kenya are safe, reliable, accessible and </w:t>
      </w:r>
      <w:r w:rsidR="007533F9" w:rsidRPr="00842A15">
        <w:rPr>
          <w:sz w:val="24"/>
          <w:szCs w:val="24"/>
        </w:rPr>
        <w:t>consumer centric</w:t>
      </w:r>
      <w:r w:rsidRPr="00842A15">
        <w:rPr>
          <w:sz w:val="24"/>
          <w:szCs w:val="24"/>
        </w:rPr>
        <w:t xml:space="preserve">. </w:t>
      </w:r>
    </w:p>
    <w:p w14:paraId="74BEB132" w14:textId="6F0F5A8B" w:rsidR="00EA08CC" w:rsidRDefault="00EA08CC" w:rsidP="3FD78F4F">
      <w:pPr>
        <w:spacing w:before="100" w:beforeAutospacing="1" w:after="100" w:afterAutospacing="1" w:line="276" w:lineRule="auto"/>
        <w:jc w:val="both"/>
        <w:rPr>
          <w:sz w:val="24"/>
          <w:szCs w:val="24"/>
        </w:rPr>
      </w:pPr>
      <w:r w:rsidRPr="3FD78F4F">
        <w:rPr>
          <w:sz w:val="24"/>
          <w:szCs w:val="24"/>
        </w:rPr>
        <w:t xml:space="preserve">During the fourth quarter of the FY 2025/2026 (April </w:t>
      </w:r>
      <w:r w:rsidR="00291BF0" w:rsidRPr="3FD78F4F">
        <w:rPr>
          <w:sz w:val="24"/>
          <w:szCs w:val="24"/>
        </w:rPr>
        <w:t>–</w:t>
      </w:r>
      <w:r w:rsidRPr="3FD78F4F">
        <w:rPr>
          <w:sz w:val="24"/>
          <w:szCs w:val="24"/>
        </w:rPr>
        <w:t xml:space="preserve"> June</w:t>
      </w:r>
      <w:r w:rsidR="00291BF0" w:rsidRPr="3FD78F4F">
        <w:rPr>
          <w:sz w:val="24"/>
          <w:szCs w:val="24"/>
        </w:rPr>
        <w:t xml:space="preserve"> </w:t>
      </w:r>
      <w:r w:rsidRPr="3FD78F4F">
        <w:rPr>
          <w:sz w:val="24"/>
          <w:szCs w:val="24"/>
        </w:rPr>
        <w:t xml:space="preserve">2026), the Authority continued to strengthen consumer protection through proactive regulatory oversight, market surveillance and enforcement of consumer protection obligations across the communications sector. </w:t>
      </w:r>
      <w:r w:rsidR="00AB3241">
        <w:rPr>
          <w:sz w:val="24"/>
          <w:szCs w:val="24"/>
        </w:rPr>
        <w:t xml:space="preserve">During the </w:t>
      </w:r>
      <w:r w:rsidR="00F04DD8">
        <w:rPr>
          <w:sz w:val="24"/>
          <w:szCs w:val="24"/>
        </w:rPr>
        <w:t>quarter</w:t>
      </w:r>
      <w:r w:rsidRPr="3FD78F4F">
        <w:rPr>
          <w:sz w:val="24"/>
          <w:szCs w:val="24"/>
        </w:rPr>
        <w:t xml:space="preserve">, the Authority received 670 consumer complaints that had been escalated by consumers who were unable to obtain satisfactory resolution from their respective service providers. Of these, 548 complaints (82%) were successfully resolved, while 122 cases remain under active regulatory follow-up, reflecting the Authority’s commitment to ensuring that consumers receive fair, </w:t>
      </w:r>
      <w:r w:rsidR="4B031912" w:rsidRPr="3FD78F4F">
        <w:rPr>
          <w:sz w:val="24"/>
          <w:szCs w:val="24"/>
        </w:rPr>
        <w:t>timely,</w:t>
      </w:r>
      <w:r w:rsidRPr="3FD78F4F">
        <w:rPr>
          <w:sz w:val="24"/>
          <w:szCs w:val="24"/>
        </w:rPr>
        <w:t xml:space="preserve"> and effective redress. </w:t>
      </w:r>
    </w:p>
    <w:p w14:paraId="7F2266A2" w14:textId="008F8C99" w:rsidR="00EA08CC" w:rsidRDefault="00EA08CC" w:rsidP="3FD78F4F">
      <w:pPr>
        <w:spacing w:before="100" w:beforeAutospacing="1" w:after="100" w:afterAutospacing="1" w:line="276" w:lineRule="auto"/>
        <w:jc w:val="both"/>
        <w:rPr>
          <w:sz w:val="24"/>
          <w:szCs w:val="24"/>
        </w:rPr>
      </w:pPr>
      <w:r w:rsidRPr="3FD78F4F">
        <w:rPr>
          <w:sz w:val="24"/>
          <w:szCs w:val="24"/>
        </w:rPr>
        <w:t xml:space="preserve">The Authority remains committed to </w:t>
      </w:r>
      <w:r w:rsidR="00291BF0" w:rsidRPr="3FD78F4F">
        <w:rPr>
          <w:sz w:val="24"/>
          <w:szCs w:val="24"/>
        </w:rPr>
        <w:t xml:space="preserve">strengthening consumer safeguards, improving </w:t>
      </w:r>
      <w:r w:rsidRPr="3FD78F4F">
        <w:rPr>
          <w:sz w:val="24"/>
          <w:szCs w:val="24"/>
        </w:rPr>
        <w:t>service reliability,</w:t>
      </w:r>
      <w:r w:rsidR="00291BF0" w:rsidRPr="3FD78F4F">
        <w:rPr>
          <w:sz w:val="24"/>
          <w:szCs w:val="24"/>
        </w:rPr>
        <w:t xml:space="preserve"> </w:t>
      </w:r>
      <w:r w:rsidRPr="3FD78F4F">
        <w:rPr>
          <w:sz w:val="24"/>
          <w:szCs w:val="24"/>
        </w:rPr>
        <w:t xml:space="preserve">enhancing industry </w:t>
      </w:r>
      <w:r w:rsidR="2A27028F" w:rsidRPr="3FD78F4F">
        <w:rPr>
          <w:sz w:val="24"/>
          <w:szCs w:val="24"/>
        </w:rPr>
        <w:t>compliance,</w:t>
      </w:r>
      <w:r w:rsidRPr="3FD78F4F">
        <w:rPr>
          <w:sz w:val="24"/>
          <w:szCs w:val="24"/>
        </w:rPr>
        <w:t xml:space="preserve"> and promoting greater accountability among licensees towards ensuring meaningful digital </w:t>
      </w:r>
      <w:r w:rsidR="54F2F469" w:rsidRPr="3FD78F4F">
        <w:rPr>
          <w:sz w:val="24"/>
          <w:szCs w:val="24"/>
        </w:rPr>
        <w:t>access</w:t>
      </w:r>
      <w:r w:rsidRPr="3FD78F4F">
        <w:rPr>
          <w:sz w:val="24"/>
          <w:szCs w:val="24"/>
        </w:rPr>
        <w:t xml:space="preserve"> for all. </w:t>
      </w:r>
    </w:p>
    <w:p w14:paraId="0621F9A9" w14:textId="2D880C68" w:rsidR="00842A15" w:rsidRDefault="00842A15" w:rsidP="00842A15">
      <w:pPr>
        <w:pStyle w:val="ListParagraph"/>
        <w:numPr>
          <w:ilvl w:val="0"/>
          <w:numId w:val="4"/>
        </w:numPr>
        <w:spacing w:before="100" w:beforeAutospacing="1" w:after="100" w:afterAutospacing="1" w:line="276" w:lineRule="auto"/>
        <w:ind w:right="119"/>
        <w:jc w:val="both"/>
        <w:rPr>
          <w:b/>
          <w:bCs/>
          <w:sz w:val="24"/>
          <w:szCs w:val="24"/>
        </w:rPr>
      </w:pPr>
      <w:r w:rsidRPr="00842A15">
        <w:rPr>
          <w:b/>
          <w:bCs/>
          <w:sz w:val="24"/>
          <w:szCs w:val="24"/>
        </w:rPr>
        <w:t>Overview of Complaints Trends During the Period</w:t>
      </w:r>
      <w:r w:rsidR="00291BF0">
        <w:rPr>
          <w:b/>
          <w:bCs/>
          <w:sz w:val="24"/>
          <w:szCs w:val="24"/>
        </w:rPr>
        <w:t xml:space="preserve"> </w:t>
      </w:r>
      <w:r w:rsidRPr="00842A15">
        <w:rPr>
          <w:b/>
          <w:bCs/>
          <w:sz w:val="24"/>
          <w:szCs w:val="24"/>
        </w:rPr>
        <w:t xml:space="preserve">April </w:t>
      </w:r>
      <w:r w:rsidR="00291BF0">
        <w:rPr>
          <w:b/>
          <w:bCs/>
          <w:sz w:val="24"/>
          <w:szCs w:val="24"/>
        </w:rPr>
        <w:t xml:space="preserve">- </w:t>
      </w:r>
      <w:r w:rsidRPr="00842A15">
        <w:rPr>
          <w:b/>
          <w:bCs/>
          <w:sz w:val="24"/>
          <w:szCs w:val="24"/>
        </w:rPr>
        <w:t>June 2026</w:t>
      </w:r>
    </w:p>
    <w:p w14:paraId="4E92879C" w14:textId="09EF0ACA" w:rsidR="00291BF0" w:rsidRDefault="00842A15" w:rsidP="62AA30B3">
      <w:pPr>
        <w:spacing w:before="100" w:beforeAutospacing="1" w:after="100" w:afterAutospacing="1" w:line="276" w:lineRule="auto"/>
        <w:jc w:val="both"/>
        <w:rPr>
          <w:sz w:val="24"/>
          <w:szCs w:val="24"/>
        </w:rPr>
      </w:pPr>
      <w:r w:rsidRPr="009E14FA">
        <w:rPr>
          <w:sz w:val="24"/>
          <w:szCs w:val="24"/>
        </w:rPr>
        <w:t>The predominant concerns raised by consumers during the reporting period relate to quality of service, digital financial</w:t>
      </w:r>
      <w:r w:rsidR="00B50FF6" w:rsidRPr="009E14FA">
        <w:rPr>
          <w:sz w:val="24"/>
          <w:szCs w:val="24"/>
        </w:rPr>
        <w:t xml:space="preserve"> services, </w:t>
      </w:r>
      <w:r w:rsidRPr="009E14FA">
        <w:rPr>
          <w:sz w:val="24"/>
          <w:szCs w:val="24"/>
        </w:rPr>
        <w:t xml:space="preserve">fraud and scams, SIM-related security risks, </w:t>
      </w:r>
      <w:r w:rsidR="00FE20B2" w:rsidRPr="009E14FA">
        <w:t xml:space="preserve">Cyber Crime/Criminal use of ICT Infrastructure </w:t>
      </w:r>
      <w:r w:rsidR="0054350E" w:rsidRPr="009E14FA">
        <w:rPr>
          <w:sz w:val="24"/>
          <w:szCs w:val="24"/>
        </w:rPr>
        <w:t xml:space="preserve">type approval of </w:t>
      </w:r>
      <w:r w:rsidRPr="009E14FA">
        <w:rPr>
          <w:sz w:val="24"/>
          <w:szCs w:val="24"/>
        </w:rPr>
        <w:t xml:space="preserve">customer premises equipment, </w:t>
      </w:r>
      <w:r w:rsidR="001B35B9" w:rsidRPr="009E14FA">
        <w:rPr>
          <w:sz w:val="24"/>
          <w:szCs w:val="24"/>
        </w:rPr>
        <w:t xml:space="preserve">billing issues, </w:t>
      </w:r>
      <w:r w:rsidRPr="009E14FA">
        <w:rPr>
          <w:sz w:val="24"/>
          <w:szCs w:val="24"/>
        </w:rPr>
        <w:t>data privacy</w:t>
      </w:r>
      <w:r w:rsidR="00161260" w:rsidRPr="009E14FA">
        <w:rPr>
          <w:sz w:val="24"/>
          <w:szCs w:val="24"/>
        </w:rPr>
        <w:t xml:space="preserve"> and </w:t>
      </w:r>
      <w:r w:rsidRPr="009E14FA">
        <w:rPr>
          <w:sz w:val="24"/>
          <w:szCs w:val="24"/>
        </w:rPr>
        <w:t>broadcasting services.</w:t>
      </w:r>
      <w:r w:rsidRPr="62AA30B3">
        <w:rPr>
          <w:sz w:val="24"/>
          <w:szCs w:val="24"/>
        </w:rPr>
        <w:t xml:space="preserve"> </w:t>
      </w:r>
    </w:p>
    <w:p w14:paraId="726567CD" w14:textId="64AA9B43" w:rsidR="00842A15" w:rsidRDefault="00842A15" w:rsidP="62AA30B3">
      <w:pPr>
        <w:spacing w:before="100" w:beforeAutospacing="1" w:after="100" w:afterAutospacing="1" w:line="276" w:lineRule="auto"/>
        <w:jc w:val="both"/>
        <w:rPr>
          <w:sz w:val="24"/>
          <w:szCs w:val="24"/>
        </w:rPr>
      </w:pPr>
      <w:r w:rsidRPr="62AA30B3">
        <w:rPr>
          <w:sz w:val="24"/>
          <w:szCs w:val="24"/>
        </w:rPr>
        <w:t xml:space="preserve">Telecommunications complaints accounted for the largest proportion of escalated cases (239 complaints), followed by Digital Financial Services and Mobile Money (110 complaints), Cybercrime and criminal use of ICT infrastructure (75 complaints), Broadcasting (42 complaints) and Postal and Courier Services (13 complaints). Emerging complaints relating to type approval of customer premises equipment, data breaches, misleading ICT promotions and unfair trading practices further highlight evolving consumer </w:t>
      </w:r>
      <w:r w:rsidR="00A30C50">
        <w:rPr>
          <w:sz w:val="24"/>
          <w:szCs w:val="24"/>
        </w:rPr>
        <w:t xml:space="preserve">concerns </w:t>
      </w:r>
      <w:r w:rsidRPr="62AA30B3">
        <w:rPr>
          <w:sz w:val="24"/>
          <w:szCs w:val="24"/>
        </w:rPr>
        <w:t xml:space="preserve">requiring continued regulatory attention. </w:t>
      </w:r>
    </w:p>
    <w:p w14:paraId="2EC592C9" w14:textId="7D832350" w:rsidR="00842A15" w:rsidRDefault="00842A15" w:rsidP="3FD78F4F">
      <w:pPr>
        <w:spacing w:before="100" w:beforeAutospacing="1" w:after="100" w:afterAutospacing="1" w:line="276" w:lineRule="auto"/>
        <w:jc w:val="both"/>
        <w:rPr>
          <w:sz w:val="24"/>
          <w:szCs w:val="24"/>
        </w:rPr>
      </w:pPr>
      <w:r w:rsidRPr="3FD78F4F">
        <w:rPr>
          <w:sz w:val="24"/>
          <w:szCs w:val="24"/>
        </w:rPr>
        <w:t xml:space="preserve">The table below </w:t>
      </w:r>
      <w:r w:rsidR="63C1C0CF" w:rsidRPr="3FD78F4F">
        <w:rPr>
          <w:sz w:val="24"/>
          <w:szCs w:val="24"/>
        </w:rPr>
        <w:t>provides</w:t>
      </w:r>
      <w:r w:rsidRPr="3FD78F4F">
        <w:rPr>
          <w:sz w:val="24"/>
          <w:szCs w:val="24"/>
        </w:rPr>
        <w:t xml:space="preserve"> a summary of the complaints escalated to the Authority during the period: </w:t>
      </w:r>
    </w:p>
    <w:tbl>
      <w:tblPr>
        <w:tblW w:w="5172" w:type="pct"/>
        <w:tblInd w:w="-5" w:type="dxa"/>
        <w:tblLayout w:type="fixed"/>
        <w:tblLook w:val="04A0" w:firstRow="1" w:lastRow="0" w:firstColumn="1" w:lastColumn="0" w:noHBand="0" w:noVBand="1"/>
      </w:tblPr>
      <w:tblGrid>
        <w:gridCol w:w="1990"/>
        <w:gridCol w:w="1699"/>
        <w:gridCol w:w="2836"/>
        <w:gridCol w:w="1276"/>
        <w:gridCol w:w="1274"/>
        <w:gridCol w:w="990"/>
      </w:tblGrid>
      <w:tr w:rsidR="00842A15" w:rsidRPr="00291BF0" w14:paraId="4AAF3B2E" w14:textId="77777777" w:rsidTr="26B34547">
        <w:trPr>
          <w:trHeight w:val="252"/>
          <w:tblHeader/>
        </w:trPr>
        <w:tc>
          <w:tcPr>
            <w:tcW w:w="1831" w:type="pct"/>
            <w:gridSpan w:val="2"/>
            <w:tcBorders>
              <w:top w:val="single" w:sz="4" w:space="0" w:color="auto"/>
              <w:left w:val="single" w:sz="4" w:space="0" w:color="auto"/>
              <w:bottom w:val="single" w:sz="4" w:space="0" w:color="auto"/>
              <w:right w:val="single" w:sz="4" w:space="0" w:color="000000" w:themeColor="text1"/>
            </w:tcBorders>
            <w:noWrap/>
            <w:vAlign w:val="bottom"/>
            <w:hideMark/>
          </w:tcPr>
          <w:p w14:paraId="5014AB95" w14:textId="77777777" w:rsidR="00842A15" w:rsidRPr="00291BF0" w:rsidRDefault="00842A15" w:rsidP="00240F9B">
            <w:pPr>
              <w:widowControl/>
              <w:autoSpaceDE/>
              <w:autoSpaceDN/>
              <w:spacing w:before="100" w:beforeAutospacing="1" w:after="100" w:afterAutospacing="1" w:line="276" w:lineRule="auto"/>
              <w:jc w:val="both"/>
              <w:rPr>
                <w:b/>
                <w:bCs/>
                <w:color w:val="000000"/>
                <w:sz w:val="20"/>
                <w:szCs w:val="20"/>
                <w:lang w:eastAsia="en-GB"/>
              </w:rPr>
            </w:pPr>
            <w:r w:rsidRPr="00291BF0">
              <w:rPr>
                <w:b/>
                <w:bCs/>
                <w:color w:val="000000"/>
                <w:sz w:val="20"/>
                <w:szCs w:val="20"/>
                <w:lang w:eastAsia="en-GB"/>
              </w:rPr>
              <w:t>Categories</w:t>
            </w:r>
          </w:p>
        </w:tc>
        <w:tc>
          <w:tcPr>
            <w:tcW w:w="1409" w:type="pct"/>
            <w:tcBorders>
              <w:top w:val="single" w:sz="4" w:space="0" w:color="auto"/>
              <w:left w:val="nil"/>
              <w:bottom w:val="single" w:sz="4" w:space="0" w:color="auto"/>
              <w:right w:val="single" w:sz="4" w:space="0" w:color="auto"/>
            </w:tcBorders>
            <w:noWrap/>
            <w:vAlign w:val="bottom"/>
            <w:hideMark/>
          </w:tcPr>
          <w:p w14:paraId="44075C67" w14:textId="77777777" w:rsidR="00842A15" w:rsidRPr="00291BF0" w:rsidRDefault="00842A15" w:rsidP="00240F9B">
            <w:pPr>
              <w:widowControl/>
              <w:autoSpaceDE/>
              <w:autoSpaceDN/>
              <w:spacing w:before="100" w:beforeAutospacing="1" w:after="100" w:afterAutospacing="1" w:line="276" w:lineRule="auto"/>
              <w:jc w:val="both"/>
              <w:rPr>
                <w:b/>
                <w:bCs/>
                <w:color w:val="000000"/>
                <w:sz w:val="20"/>
                <w:szCs w:val="20"/>
                <w:lang w:eastAsia="en-GB"/>
              </w:rPr>
            </w:pPr>
            <w:r w:rsidRPr="00291BF0">
              <w:rPr>
                <w:b/>
                <w:bCs/>
                <w:color w:val="000000"/>
                <w:sz w:val="20"/>
                <w:szCs w:val="20"/>
                <w:lang w:eastAsia="en-GB"/>
              </w:rPr>
              <w:t> </w:t>
            </w:r>
          </w:p>
        </w:tc>
        <w:tc>
          <w:tcPr>
            <w:tcW w:w="634" w:type="pct"/>
            <w:tcBorders>
              <w:top w:val="single" w:sz="4" w:space="0" w:color="auto"/>
              <w:left w:val="nil"/>
              <w:bottom w:val="single" w:sz="4" w:space="0" w:color="auto"/>
              <w:right w:val="single" w:sz="4" w:space="0" w:color="auto"/>
            </w:tcBorders>
            <w:noWrap/>
            <w:vAlign w:val="bottom"/>
            <w:hideMark/>
          </w:tcPr>
          <w:p w14:paraId="6970BD1F" w14:textId="77777777" w:rsidR="00842A15" w:rsidRPr="00291BF0" w:rsidRDefault="00842A15" w:rsidP="00240F9B">
            <w:pPr>
              <w:widowControl/>
              <w:autoSpaceDE/>
              <w:autoSpaceDN/>
              <w:spacing w:before="100" w:beforeAutospacing="1" w:after="100" w:afterAutospacing="1" w:line="276" w:lineRule="auto"/>
              <w:jc w:val="both"/>
              <w:rPr>
                <w:b/>
                <w:bCs/>
                <w:color w:val="000000"/>
                <w:sz w:val="20"/>
                <w:szCs w:val="20"/>
                <w:lang w:eastAsia="en-GB"/>
              </w:rPr>
            </w:pPr>
            <w:r w:rsidRPr="00291BF0">
              <w:rPr>
                <w:b/>
                <w:bCs/>
                <w:color w:val="000000"/>
                <w:sz w:val="20"/>
                <w:szCs w:val="20"/>
                <w:lang w:eastAsia="en-GB"/>
              </w:rPr>
              <w:t>Total</w:t>
            </w:r>
          </w:p>
        </w:tc>
        <w:tc>
          <w:tcPr>
            <w:tcW w:w="633" w:type="pct"/>
            <w:tcBorders>
              <w:top w:val="single" w:sz="4" w:space="0" w:color="auto"/>
              <w:left w:val="nil"/>
              <w:bottom w:val="single" w:sz="4" w:space="0" w:color="auto"/>
              <w:right w:val="single" w:sz="4" w:space="0" w:color="auto"/>
            </w:tcBorders>
            <w:noWrap/>
            <w:vAlign w:val="bottom"/>
            <w:hideMark/>
          </w:tcPr>
          <w:p w14:paraId="25144912" w14:textId="77777777" w:rsidR="00842A15" w:rsidRPr="00291BF0" w:rsidRDefault="00842A15" w:rsidP="00240F9B">
            <w:pPr>
              <w:widowControl/>
              <w:autoSpaceDE/>
              <w:autoSpaceDN/>
              <w:spacing w:before="100" w:beforeAutospacing="1" w:after="100" w:afterAutospacing="1" w:line="276" w:lineRule="auto"/>
              <w:jc w:val="both"/>
              <w:rPr>
                <w:b/>
                <w:bCs/>
                <w:color w:val="000000"/>
                <w:sz w:val="20"/>
                <w:szCs w:val="20"/>
                <w:lang w:eastAsia="en-GB"/>
              </w:rPr>
            </w:pPr>
            <w:r w:rsidRPr="00291BF0">
              <w:rPr>
                <w:b/>
                <w:bCs/>
                <w:color w:val="000000"/>
                <w:sz w:val="20"/>
                <w:szCs w:val="20"/>
                <w:lang w:eastAsia="en-GB"/>
              </w:rPr>
              <w:t>Resolved</w:t>
            </w:r>
          </w:p>
        </w:tc>
        <w:tc>
          <w:tcPr>
            <w:tcW w:w="493" w:type="pct"/>
            <w:tcBorders>
              <w:top w:val="single" w:sz="4" w:space="0" w:color="auto"/>
              <w:left w:val="nil"/>
              <w:bottom w:val="single" w:sz="4" w:space="0" w:color="auto"/>
              <w:right w:val="single" w:sz="4" w:space="0" w:color="auto"/>
            </w:tcBorders>
            <w:noWrap/>
            <w:vAlign w:val="bottom"/>
            <w:hideMark/>
          </w:tcPr>
          <w:p w14:paraId="16440637" w14:textId="77777777" w:rsidR="00842A15" w:rsidRPr="00291BF0" w:rsidRDefault="00842A15" w:rsidP="00240F9B">
            <w:pPr>
              <w:widowControl/>
              <w:autoSpaceDE/>
              <w:autoSpaceDN/>
              <w:spacing w:before="100" w:beforeAutospacing="1" w:after="100" w:afterAutospacing="1" w:line="276" w:lineRule="auto"/>
              <w:jc w:val="both"/>
              <w:rPr>
                <w:b/>
                <w:bCs/>
                <w:color w:val="000000"/>
                <w:sz w:val="20"/>
                <w:szCs w:val="20"/>
                <w:lang w:eastAsia="en-GB"/>
              </w:rPr>
            </w:pPr>
            <w:r w:rsidRPr="00291BF0">
              <w:rPr>
                <w:b/>
                <w:bCs/>
                <w:color w:val="000000"/>
                <w:sz w:val="20"/>
                <w:szCs w:val="20"/>
                <w:lang w:eastAsia="en-GB"/>
              </w:rPr>
              <w:t>In Progress</w:t>
            </w:r>
          </w:p>
        </w:tc>
      </w:tr>
      <w:tr w:rsidR="00842A15" w:rsidRPr="00291BF0" w14:paraId="792ACA8C" w14:textId="77777777" w:rsidTr="26B34547">
        <w:trPr>
          <w:trHeight w:val="252"/>
        </w:trPr>
        <w:tc>
          <w:tcPr>
            <w:tcW w:w="988" w:type="pct"/>
            <w:tcBorders>
              <w:top w:val="nil"/>
              <w:left w:val="single" w:sz="4" w:space="0" w:color="auto"/>
              <w:bottom w:val="single" w:sz="4" w:space="0" w:color="auto"/>
              <w:right w:val="single" w:sz="4" w:space="0" w:color="auto"/>
            </w:tcBorders>
            <w:noWrap/>
            <w:vAlign w:val="bottom"/>
            <w:hideMark/>
          </w:tcPr>
          <w:p w14:paraId="3F7E2D53"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Telecommunications</w:t>
            </w:r>
          </w:p>
        </w:tc>
        <w:tc>
          <w:tcPr>
            <w:tcW w:w="844" w:type="pct"/>
            <w:tcBorders>
              <w:top w:val="nil"/>
              <w:left w:val="nil"/>
              <w:bottom w:val="single" w:sz="4" w:space="0" w:color="auto"/>
              <w:right w:val="single" w:sz="4" w:space="0" w:color="auto"/>
            </w:tcBorders>
            <w:noWrap/>
            <w:vAlign w:val="bottom"/>
            <w:hideMark/>
          </w:tcPr>
          <w:p w14:paraId="669DAC48"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 </w:t>
            </w:r>
          </w:p>
        </w:tc>
        <w:tc>
          <w:tcPr>
            <w:tcW w:w="1409" w:type="pct"/>
            <w:tcBorders>
              <w:top w:val="nil"/>
              <w:left w:val="nil"/>
              <w:bottom w:val="single" w:sz="4" w:space="0" w:color="auto"/>
              <w:right w:val="single" w:sz="4" w:space="0" w:color="auto"/>
            </w:tcBorders>
            <w:noWrap/>
            <w:vAlign w:val="bottom"/>
            <w:hideMark/>
          </w:tcPr>
          <w:p w14:paraId="49E72BE9"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 </w:t>
            </w:r>
          </w:p>
        </w:tc>
        <w:tc>
          <w:tcPr>
            <w:tcW w:w="634" w:type="pct"/>
            <w:tcBorders>
              <w:top w:val="nil"/>
              <w:left w:val="nil"/>
              <w:bottom w:val="single" w:sz="4" w:space="0" w:color="auto"/>
              <w:right w:val="single" w:sz="4" w:space="0" w:color="auto"/>
            </w:tcBorders>
            <w:noWrap/>
            <w:vAlign w:val="bottom"/>
            <w:hideMark/>
          </w:tcPr>
          <w:p w14:paraId="448C56BF" w14:textId="77777777" w:rsidR="00842A15" w:rsidRPr="00291BF0" w:rsidRDefault="00842A15" w:rsidP="00240F9B">
            <w:pPr>
              <w:widowControl/>
              <w:autoSpaceDE/>
              <w:autoSpaceDN/>
              <w:spacing w:before="100" w:beforeAutospacing="1" w:after="100" w:afterAutospacing="1" w:line="276" w:lineRule="auto"/>
              <w:jc w:val="both"/>
              <w:rPr>
                <w:b/>
                <w:bCs/>
                <w:color w:val="000000"/>
                <w:sz w:val="20"/>
                <w:szCs w:val="20"/>
                <w:lang w:eastAsia="en-GB"/>
              </w:rPr>
            </w:pPr>
            <w:r w:rsidRPr="00291BF0">
              <w:rPr>
                <w:b/>
                <w:bCs/>
                <w:color w:val="000000"/>
                <w:sz w:val="20"/>
                <w:szCs w:val="20"/>
                <w:lang w:eastAsia="en-GB"/>
              </w:rPr>
              <w:t>239</w:t>
            </w:r>
          </w:p>
        </w:tc>
        <w:tc>
          <w:tcPr>
            <w:tcW w:w="633" w:type="pct"/>
            <w:tcBorders>
              <w:top w:val="nil"/>
              <w:left w:val="nil"/>
              <w:bottom w:val="single" w:sz="4" w:space="0" w:color="auto"/>
              <w:right w:val="single" w:sz="4" w:space="0" w:color="auto"/>
            </w:tcBorders>
            <w:noWrap/>
            <w:vAlign w:val="bottom"/>
            <w:hideMark/>
          </w:tcPr>
          <w:p w14:paraId="56E8B3B4" w14:textId="77777777" w:rsidR="00842A15" w:rsidRPr="00291BF0" w:rsidRDefault="00842A15" w:rsidP="00240F9B">
            <w:pPr>
              <w:widowControl/>
              <w:autoSpaceDE/>
              <w:autoSpaceDN/>
              <w:spacing w:before="100" w:beforeAutospacing="1" w:after="100" w:afterAutospacing="1" w:line="276" w:lineRule="auto"/>
              <w:jc w:val="both"/>
              <w:rPr>
                <w:b/>
                <w:bCs/>
                <w:color w:val="000000"/>
                <w:sz w:val="20"/>
                <w:szCs w:val="20"/>
                <w:lang w:eastAsia="en-GB"/>
              </w:rPr>
            </w:pPr>
            <w:r w:rsidRPr="00291BF0">
              <w:rPr>
                <w:b/>
                <w:bCs/>
                <w:color w:val="000000"/>
                <w:sz w:val="20"/>
                <w:szCs w:val="20"/>
                <w:lang w:eastAsia="en-GB"/>
              </w:rPr>
              <w:t>167</w:t>
            </w:r>
          </w:p>
        </w:tc>
        <w:tc>
          <w:tcPr>
            <w:tcW w:w="493" w:type="pct"/>
            <w:tcBorders>
              <w:top w:val="nil"/>
              <w:left w:val="nil"/>
              <w:bottom w:val="single" w:sz="4" w:space="0" w:color="auto"/>
              <w:right w:val="single" w:sz="4" w:space="0" w:color="auto"/>
            </w:tcBorders>
            <w:noWrap/>
            <w:vAlign w:val="bottom"/>
            <w:hideMark/>
          </w:tcPr>
          <w:p w14:paraId="3842E3D2" w14:textId="77777777" w:rsidR="00842A15" w:rsidRPr="00291BF0" w:rsidRDefault="00842A15" w:rsidP="00240F9B">
            <w:pPr>
              <w:widowControl/>
              <w:autoSpaceDE/>
              <w:autoSpaceDN/>
              <w:spacing w:before="100" w:beforeAutospacing="1" w:after="100" w:afterAutospacing="1" w:line="276" w:lineRule="auto"/>
              <w:jc w:val="both"/>
              <w:rPr>
                <w:b/>
                <w:bCs/>
                <w:color w:val="000000"/>
                <w:sz w:val="20"/>
                <w:szCs w:val="20"/>
                <w:lang w:eastAsia="en-GB"/>
              </w:rPr>
            </w:pPr>
            <w:r w:rsidRPr="00291BF0">
              <w:rPr>
                <w:b/>
                <w:bCs/>
                <w:color w:val="000000"/>
                <w:sz w:val="20"/>
                <w:szCs w:val="20"/>
                <w:lang w:eastAsia="en-GB"/>
              </w:rPr>
              <w:t> 72</w:t>
            </w:r>
          </w:p>
        </w:tc>
      </w:tr>
      <w:tr w:rsidR="00842A15" w:rsidRPr="00291BF0" w14:paraId="3C811C21" w14:textId="77777777" w:rsidTr="26B34547">
        <w:trPr>
          <w:trHeight w:val="252"/>
        </w:trPr>
        <w:tc>
          <w:tcPr>
            <w:tcW w:w="988" w:type="pct"/>
            <w:tcBorders>
              <w:top w:val="nil"/>
              <w:left w:val="single" w:sz="4" w:space="0" w:color="auto"/>
              <w:bottom w:val="single" w:sz="4" w:space="0" w:color="auto"/>
              <w:right w:val="single" w:sz="4" w:space="0" w:color="auto"/>
            </w:tcBorders>
            <w:noWrap/>
            <w:vAlign w:val="bottom"/>
            <w:hideMark/>
          </w:tcPr>
          <w:p w14:paraId="79A96633"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 </w:t>
            </w:r>
          </w:p>
        </w:tc>
        <w:tc>
          <w:tcPr>
            <w:tcW w:w="844" w:type="pct"/>
            <w:tcBorders>
              <w:top w:val="nil"/>
              <w:left w:val="nil"/>
              <w:bottom w:val="single" w:sz="4" w:space="0" w:color="auto"/>
              <w:right w:val="single" w:sz="4" w:space="0" w:color="auto"/>
            </w:tcBorders>
            <w:noWrap/>
            <w:vAlign w:val="bottom"/>
            <w:hideMark/>
          </w:tcPr>
          <w:p w14:paraId="72C2B0C7"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Voice</w:t>
            </w:r>
          </w:p>
        </w:tc>
        <w:tc>
          <w:tcPr>
            <w:tcW w:w="1409" w:type="pct"/>
            <w:tcBorders>
              <w:top w:val="nil"/>
              <w:left w:val="nil"/>
              <w:bottom w:val="single" w:sz="4" w:space="0" w:color="auto"/>
              <w:right w:val="single" w:sz="4" w:space="0" w:color="auto"/>
            </w:tcBorders>
            <w:noWrap/>
            <w:vAlign w:val="bottom"/>
            <w:hideMark/>
          </w:tcPr>
          <w:p w14:paraId="3204C50B"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 </w:t>
            </w:r>
          </w:p>
        </w:tc>
        <w:tc>
          <w:tcPr>
            <w:tcW w:w="634" w:type="pct"/>
            <w:tcBorders>
              <w:top w:val="nil"/>
              <w:left w:val="nil"/>
              <w:bottom w:val="single" w:sz="4" w:space="0" w:color="auto"/>
              <w:right w:val="single" w:sz="4" w:space="0" w:color="auto"/>
            </w:tcBorders>
            <w:noWrap/>
            <w:vAlign w:val="bottom"/>
            <w:hideMark/>
          </w:tcPr>
          <w:p w14:paraId="7C080F7C" w14:textId="77777777" w:rsidR="00842A15" w:rsidRPr="00291BF0" w:rsidRDefault="00842A15" w:rsidP="00240F9B">
            <w:pPr>
              <w:widowControl/>
              <w:autoSpaceDE/>
              <w:autoSpaceDN/>
              <w:spacing w:before="100" w:beforeAutospacing="1" w:after="100" w:afterAutospacing="1" w:line="276" w:lineRule="auto"/>
              <w:jc w:val="both"/>
              <w:rPr>
                <w:b/>
                <w:bCs/>
                <w:i/>
                <w:iCs/>
                <w:color w:val="000000"/>
                <w:sz w:val="20"/>
                <w:szCs w:val="20"/>
                <w:lang w:eastAsia="en-GB"/>
              </w:rPr>
            </w:pPr>
            <w:r w:rsidRPr="00291BF0">
              <w:rPr>
                <w:b/>
                <w:bCs/>
                <w:i/>
                <w:iCs/>
                <w:color w:val="000000"/>
                <w:sz w:val="20"/>
                <w:szCs w:val="20"/>
                <w:lang w:eastAsia="en-GB"/>
              </w:rPr>
              <w:t>44</w:t>
            </w:r>
          </w:p>
        </w:tc>
        <w:tc>
          <w:tcPr>
            <w:tcW w:w="633" w:type="pct"/>
            <w:tcBorders>
              <w:top w:val="nil"/>
              <w:left w:val="nil"/>
              <w:bottom w:val="single" w:sz="4" w:space="0" w:color="auto"/>
              <w:right w:val="single" w:sz="4" w:space="0" w:color="auto"/>
            </w:tcBorders>
            <w:noWrap/>
            <w:vAlign w:val="bottom"/>
            <w:hideMark/>
          </w:tcPr>
          <w:p w14:paraId="5C46F5BE" w14:textId="77777777" w:rsidR="00842A15" w:rsidRPr="00291BF0" w:rsidRDefault="00842A15" w:rsidP="00240F9B">
            <w:pPr>
              <w:widowControl/>
              <w:autoSpaceDE/>
              <w:autoSpaceDN/>
              <w:spacing w:before="100" w:beforeAutospacing="1" w:after="100" w:afterAutospacing="1" w:line="276" w:lineRule="auto"/>
              <w:jc w:val="both"/>
              <w:rPr>
                <w:b/>
                <w:bCs/>
                <w:i/>
                <w:iCs/>
                <w:color w:val="000000"/>
                <w:sz w:val="20"/>
                <w:szCs w:val="20"/>
                <w:lang w:eastAsia="en-GB"/>
              </w:rPr>
            </w:pPr>
            <w:r w:rsidRPr="00291BF0">
              <w:rPr>
                <w:b/>
                <w:bCs/>
                <w:i/>
                <w:iCs/>
                <w:color w:val="000000"/>
                <w:sz w:val="20"/>
                <w:szCs w:val="20"/>
                <w:lang w:eastAsia="en-GB"/>
              </w:rPr>
              <w:t>28</w:t>
            </w:r>
          </w:p>
        </w:tc>
        <w:tc>
          <w:tcPr>
            <w:tcW w:w="493" w:type="pct"/>
            <w:tcBorders>
              <w:top w:val="nil"/>
              <w:left w:val="nil"/>
              <w:bottom w:val="single" w:sz="4" w:space="0" w:color="auto"/>
              <w:right w:val="single" w:sz="4" w:space="0" w:color="auto"/>
            </w:tcBorders>
            <w:noWrap/>
            <w:vAlign w:val="bottom"/>
            <w:hideMark/>
          </w:tcPr>
          <w:p w14:paraId="294E50DE" w14:textId="77777777" w:rsidR="00842A15" w:rsidRPr="00291BF0" w:rsidRDefault="00842A15" w:rsidP="00240F9B">
            <w:pPr>
              <w:widowControl/>
              <w:autoSpaceDE/>
              <w:autoSpaceDN/>
              <w:spacing w:before="100" w:beforeAutospacing="1" w:after="100" w:afterAutospacing="1" w:line="276" w:lineRule="auto"/>
              <w:jc w:val="both"/>
              <w:rPr>
                <w:b/>
                <w:bCs/>
                <w:i/>
                <w:iCs/>
                <w:color w:val="000000"/>
                <w:sz w:val="20"/>
                <w:szCs w:val="20"/>
                <w:lang w:eastAsia="en-GB"/>
              </w:rPr>
            </w:pPr>
            <w:r w:rsidRPr="00291BF0">
              <w:rPr>
                <w:b/>
                <w:bCs/>
                <w:i/>
                <w:iCs/>
                <w:color w:val="000000"/>
                <w:sz w:val="20"/>
                <w:szCs w:val="20"/>
                <w:lang w:eastAsia="en-GB"/>
              </w:rPr>
              <w:t>16</w:t>
            </w:r>
          </w:p>
        </w:tc>
      </w:tr>
      <w:tr w:rsidR="00842A15" w:rsidRPr="00291BF0" w14:paraId="1B63F25F" w14:textId="77777777" w:rsidTr="26B34547">
        <w:trPr>
          <w:trHeight w:val="252"/>
        </w:trPr>
        <w:tc>
          <w:tcPr>
            <w:tcW w:w="988" w:type="pct"/>
            <w:tcBorders>
              <w:top w:val="nil"/>
              <w:left w:val="single" w:sz="4" w:space="0" w:color="auto"/>
              <w:bottom w:val="single" w:sz="4" w:space="0" w:color="auto"/>
              <w:right w:val="single" w:sz="4" w:space="0" w:color="auto"/>
            </w:tcBorders>
            <w:noWrap/>
            <w:vAlign w:val="bottom"/>
            <w:hideMark/>
          </w:tcPr>
          <w:p w14:paraId="402102C4"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lastRenderedPageBreak/>
              <w:t> </w:t>
            </w:r>
          </w:p>
        </w:tc>
        <w:tc>
          <w:tcPr>
            <w:tcW w:w="844" w:type="pct"/>
            <w:tcBorders>
              <w:top w:val="nil"/>
              <w:left w:val="nil"/>
              <w:bottom w:val="single" w:sz="4" w:space="0" w:color="auto"/>
              <w:right w:val="single" w:sz="4" w:space="0" w:color="auto"/>
            </w:tcBorders>
            <w:noWrap/>
            <w:vAlign w:val="bottom"/>
            <w:hideMark/>
          </w:tcPr>
          <w:p w14:paraId="4D73FECE"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 </w:t>
            </w:r>
          </w:p>
        </w:tc>
        <w:tc>
          <w:tcPr>
            <w:tcW w:w="1409" w:type="pct"/>
            <w:tcBorders>
              <w:top w:val="nil"/>
              <w:left w:val="nil"/>
              <w:bottom w:val="single" w:sz="4" w:space="0" w:color="auto"/>
              <w:right w:val="single" w:sz="4" w:space="0" w:color="auto"/>
            </w:tcBorders>
            <w:noWrap/>
            <w:vAlign w:val="bottom"/>
            <w:hideMark/>
          </w:tcPr>
          <w:p w14:paraId="76030A5C"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Quality of Service (QoS)</w:t>
            </w:r>
          </w:p>
        </w:tc>
        <w:tc>
          <w:tcPr>
            <w:tcW w:w="634" w:type="pct"/>
            <w:tcBorders>
              <w:top w:val="nil"/>
              <w:left w:val="nil"/>
              <w:bottom w:val="single" w:sz="4" w:space="0" w:color="auto"/>
              <w:right w:val="single" w:sz="4" w:space="0" w:color="auto"/>
            </w:tcBorders>
            <w:noWrap/>
            <w:vAlign w:val="bottom"/>
            <w:hideMark/>
          </w:tcPr>
          <w:p w14:paraId="6DB17058"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13</w:t>
            </w:r>
          </w:p>
        </w:tc>
        <w:tc>
          <w:tcPr>
            <w:tcW w:w="633" w:type="pct"/>
            <w:tcBorders>
              <w:top w:val="nil"/>
              <w:left w:val="nil"/>
              <w:bottom w:val="single" w:sz="4" w:space="0" w:color="auto"/>
              <w:right w:val="single" w:sz="4" w:space="0" w:color="auto"/>
            </w:tcBorders>
            <w:noWrap/>
            <w:vAlign w:val="bottom"/>
            <w:hideMark/>
          </w:tcPr>
          <w:p w14:paraId="4B2FC2A6"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6</w:t>
            </w:r>
          </w:p>
        </w:tc>
        <w:tc>
          <w:tcPr>
            <w:tcW w:w="493" w:type="pct"/>
            <w:tcBorders>
              <w:top w:val="nil"/>
              <w:left w:val="nil"/>
              <w:bottom w:val="single" w:sz="4" w:space="0" w:color="auto"/>
              <w:right w:val="single" w:sz="4" w:space="0" w:color="auto"/>
            </w:tcBorders>
            <w:noWrap/>
            <w:vAlign w:val="bottom"/>
            <w:hideMark/>
          </w:tcPr>
          <w:p w14:paraId="024B3CB1"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7</w:t>
            </w:r>
          </w:p>
        </w:tc>
      </w:tr>
      <w:tr w:rsidR="00842A15" w:rsidRPr="00291BF0" w14:paraId="1B3358ED" w14:textId="77777777" w:rsidTr="26B34547">
        <w:trPr>
          <w:trHeight w:val="252"/>
        </w:trPr>
        <w:tc>
          <w:tcPr>
            <w:tcW w:w="988" w:type="pct"/>
            <w:tcBorders>
              <w:top w:val="nil"/>
              <w:left w:val="single" w:sz="4" w:space="0" w:color="auto"/>
              <w:bottom w:val="single" w:sz="4" w:space="0" w:color="auto"/>
              <w:right w:val="single" w:sz="4" w:space="0" w:color="auto"/>
            </w:tcBorders>
            <w:noWrap/>
            <w:vAlign w:val="bottom"/>
            <w:hideMark/>
          </w:tcPr>
          <w:p w14:paraId="6455F676"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 </w:t>
            </w:r>
          </w:p>
        </w:tc>
        <w:tc>
          <w:tcPr>
            <w:tcW w:w="844" w:type="pct"/>
            <w:tcBorders>
              <w:top w:val="nil"/>
              <w:left w:val="nil"/>
              <w:bottom w:val="single" w:sz="4" w:space="0" w:color="auto"/>
              <w:right w:val="single" w:sz="4" w:space="0" w:color="auto"/>
            </w:tcBorders>
            <w:noWrap/>
            <w:vAlign w:val="bottom"/>
            <w:hideMark/>
          </w:tcPr>
          <w:p w14:paraId="50DCF671"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 </w:t>
            </w:r>
          </w:p>
        </w:tc>
        <w:tc>
          <w:tcPr>
            <w:tcW w:w="1409" w:type="pct"/>
            <w:tcBorders>
              <w:top w:val="nil"/>
              <w:left w:val="nil"/>
              <w:bottom w:val="single" w:sz="4" w:space="0" w:color="auto"/>
              <w:right w:val="single" w:sz="4" w:space="0" w:color="auto"/>
            </w:tcBorders>
            <w:noWrap/>
            <w:vAlign w:val="bottom"/>
            <w:hideMark/>
          </w:tcPr>
          <w:p w14:paraId="47E72444"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Interruption</w:t>
            </w:r>
          </w:p>
        </w:tc>
        <w:tc>
          <w:tcPr>
            <w:tcW w:w="634" w:type="pct"/>
            <w:tcBorders>
              <w:top w:val="nil"/>
              <w:left w:val="nil"/>
              <w:bottom w:val="single" w:sz="4" w:space="0" w:color="auto"/>
              <w:right w:val="single" w:sz="4" w:space="0" w:color="auto"/>
            </w:tcBorders>
            <w:noWrap/>
            <w:vAlign w:val="bottom"/>
            <w:hideMark/>
          </w:tcPr>
          <w:p w14:paraId="09672F08"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2</w:t>
            </w:r>
          </w:p>
        </w:tc>
        <w:tc>
          <w:tcPr>
            <w:tcW w:w="633" w:type="pct"/>
            <w:tcBorders>
              <w:top w:val="nil"/>
              <w:left w:val="nil"/>
              <w:bottom w:val="single" w:sz="4" w:space="0" w:color="auto"/>
              <w:right w:val="single" w:sz="4" w:space="0" w:color="auto"/>
            </w:tcBorders>
            <w:noWrap/>
            <w:vAlign w:val="bottom"/>
            <w:hideMark/>
          </w:tcPr>
          <w:p w14:paraId="5683EFB7"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2</w:t>
            </w:r>
          </w:p>
        </w:tc>
        <w:tc>
          <w:tcPr>
            <w:tcW w:w="493" w:type="pct"/>
            <w:tcBorders>
              <w:top w:val="nil"/>
              <w:left w:val="nil"/>
              <w:bottom w:val="single" w:sz="4" w:space="0" w:color="auto"/>
              <w:right w:val="single" w:sz="4" w:space="0" w:color="auto"/>
            </w:tcBorders>
            <w:noWrap/>
            <w:vAlign w:val="bottom"/>
            <w:hideMark/>
          </w:tcPr>
          <w:p w14:paraId="1E9026F5"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0</w:t>
            </w:r>
          </w:p>
        </w:tc>
      </w:tr>
      <w:tr w:rsidR="00842A15" w:rsidRPr="00291BF0" w14:paraId="49982012" w14:textId="77777777" w:rsidTr="26B34547">
        <w:trPr>
          <w:trHeight w:val="252"/>
        </w:trPr>
        <w:tc>
          <w:tcPr>
            <w:tcW w:w="988" w:type="pct"/>
            <w:tcBorders>
              <w:top w:val="nil"/>
              <w:left w:val="single" w:sz="4" w:space="0" w:color="auto"/>
              <w:bottom w:val="single" w:sz="4" w:space="0" w:color="auto"/>
              <w:right w:val="single" w:sz="4" w:space="0" w:color="auto"/>
            </w:tcBorders>
            <w:noWrap/>
            <w:vAlign w:val="bottom"/>
            <w:hideMark/>
          </w:tcPr>
          <w:p w14:paraId="1BE7405C"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 </w:t>
            </w:r>
          </w:p>
        </w:tc>
        <w:tc>
          <w:tcPr>
            <w:tcW w:w="844" w:type="pct"/>
            <w:tcBorders>
              <w:top w:val="nil"/>
              <w:left w:val="nil"/>
              <w:bottom w:val="single" w:sz="4" w:space="0" w:color="auto"/>
              <w:right w:val="single" w:sz="4" w:space="0" w:color="auto"/>
            </w:tcBorders>
            <w:noWrap/>
            <w:vAlign w:val="bottom"/>
            <w:hideMark/>
          </w:tcPr>
          <w:p w14:paraId="119CCF1C"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 </w:t>
            </w:r>
          </w:p>
        </w:tc>
        <w:tc>
          <w:tcPr>
            <w:tcW w:w="1409" w:type="pct"/>
            <w:tcBorders>
              <w:top w:val="nil"/>
              <w:left w:val="nil"/>
              <w:bottom w:val="single" w:sz="4" w:space="0" w:color="auto"/>
              <w:right w:val="single" w:sz="4" w:space="0" w:color="auto"/>
            </w:tcBorders>
            <w:noWrap/>
            <w:vAlign w:val="bottom"/>
            <w:hideMark/>
          </w:tcPr>
          <w:p w14:paraId="47C215CD"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Billing &amp; Charges</w:t>
            </w:r>
          </w:p>
        </w:tc>
        <w:tc>
          <w:tcPr>
            <w:tcW w:w="634" w:type="pct"/>
            <w:tcBorders>
              <w:top w:val="nil"/>
              <w:left w:val="nil"/>
              <w:bottom w:val="single" w:sz="4" w:space="0" w:color="auto"/>
              <w:right w:val="single" w:sz="4" w:space="0" w:color="auto"/>
            </w:tcBorders>
            <w:noWrap/>
            <w:vAlign w:val="bottom"/>
            <w:hideMark/>
          </w:tcPr>
          <w:p w14:paraId="7BCB2EE3"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0</w:t>
            </w:r>
          </w:p>
        </w:tc>
        <w:tc>
          <w:tcPr>
            <w:tcW w:w="633" w:type="pct"/>
            <w:tcBorders>
              <w:top w:val="nil"/>
              <w:left w:val="nil"/>
              <w:bottom w:val="single" w:sz="4" w:space="0" w:color="auto"/>
              <w:right w:val="single" w:sz="4" w:space="0" w:color="auto"/>
            </w:tcBorders>
            <w:noWrap/>
            <w:vAlign w:val="bottom"/>
            <w:hideMark/>
          </w:tcPr>
          <w:p w14:paraId="3CD2BD5D"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0</w:t>
            </w:r>
          </w:p>
        </w:tc>
        <w:tc>
          <w:tcPr>
            <w:tcW w:w="493" w:type="pct"/>
            <w:tcBorders>
              <w:top w:val="nil"/>
              <w:left w:val="nil"/>
              <w:bottom w:val="single" w:sz="4" w:space="0" w:color="auto"/>
              <w:right w:val="single" w:sz="4" w:space="0" w:color="auto"/>
            </w:tcBorders>
            <w:noWrap/>
            <w:vAlign w:val="bottom"/>
            <w:hideMark/>
          </w:tcPr>
          <w:p w14:paraId="7BB77F35"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0</w:t>
            </w:r>
          </w:p>
        </w:tc>
      </w:tr>
      <w:tr w:rsidR="00842A15" w:rsidRPr="00291BF0" w14:paraId="3BB7A916" w14:textId="77777777" w:rsidTr="26B34547">
        <w:trPr>
          <w:trHeight w:val="252"/>
        </w:trPr>
        <w:tc>
          <w:tcPr>
            <w:tcW w:w="988" w:type="pct"/>
            <w:tcBorders>
              <w:top w:val="nil"/>
              <w:left w:val="single" w:sz="4" w:space="0" w:color="auto"/>
              <w:bottom w:val="single" w:sz="4" w:space="0" w:color="auto"/>
              <w:right w:val="single" w:sz="4" w:space="0" w:color="auto"/>
            </w:tcBorders>
            <w:noWrap/>
            <w:vAlign w:val="bottom"/>
            <w:hideMark/>
          </w:tcPr>
          <w:p w14:paraId="6C132A21"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 </w:t>
            </w:r>
          </w:p>
        </w:tc>
        <w:tc>
          <w:tcPr>
            <w:tcW w:w="844" w:type="pct"/>
            <w:tcBorders>
              <w:top w:val="nil"/>
              <w:left w:val="nil"/>
              <w:bottom w:val="single" w:sz="4" w:space="0" w:color="auto"/>
              <w:right w:val="single" w:sz="4" w:space="0" w:color="auto"/>
            </w:tcBorders>
            <w:noWrap/>
            <w:vAlign w:val="bottom"/>
            <w:hideMark/>
          </w:tcPr>
          <w:p w14:paraId="36441ACA"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 </w:t>
            </w:r>
          </w:p>
        </w:tc>
        <w:tc>
          <w:tcPr>
            <w:tcW w:w="1409" w:type="pct"/>
            <w:tcBorders>
              <w:top w:val="nil"/>
              <w:left w:val="nil"/>
              <w:bottom w:val="single" w:sz="4" w:space="0" w:color="auto"/>
              <w:right w:val="single" w:sz="4" w:space="0" w:color="auto"/>
            </w:tcBorders>
            <w:noWrap/>
            <w:vAlign w:val="bottom"/>
            <w:hideMark/>
          </w:tcPr>
          <w:p w14:paraId="6DC49950"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Fraud/Con calls and messages</w:t>
            </w:r>
          </w:p>
        </w:tc>
        <w:tc>
          <w:tcPr>
            <w:tcW w:w="634" w:type="pct"/>
            <w:tcBorders>
              <w:top w:val="nil"/>
              <w:left w:val="nil"/>
              <w:bottom w:val="single" w:sz="4" w:space="0" w:color="auto"/>
              <w:right w:val="single" w:sz="4" w:space="0" w:color="auto"/>
            </w:tcBorders>
            <w:noWrap/>
            <w:vAlign w:val="bottom"/>
            <w:hideMark/>
          </w:tcPr>
          <w:p w14:paraId="2A3A7B6A"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7</w:t>
            </w:r>
          </w:p>
        </w:tc>
        <w:tc>
          <w:tcPr>
            <w:tcW w:w="633" w:type="pct"/>
            <w:tcBorders>
              <w:top w:val="nil"/>
              <w:left w:val="nil"/>
              <w:bottom w:val="single" w:sz="4" w:space="0" w:color="auto"/>
              <w:right w:val="single" w:sz="4" w:space="0" w:color="auto"/>
            </w:tcBorders>
            <w:noWrap/>
            <w:vAlign w:val="bottom"/>
            <w:hideMark/>
          </w:tcPr>
          <w:p w14:paraId="209D53D2"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6</w:t>
            </w:r>
          </w:p>
        </w:tc>
        <w:tc>
          <w:tcPr>
            <w:tcW w:w="493" w:type="pct"/>
            <w:tcBorders>
              <w:top w:val="nil"/>
              <w:left w:val="nil"/>
              <w:bottom w:val="single" w:sz="4" w:space="0" w:color="auto"/>
              <w:right w:val="single" w:sz="4" w:space="0" w:color="auto"/>
            </w:tcBorders>
            <w:noWrap/>
            <w:vAlign w:val="bottom"/>
            <w:hideMark/>
          </w:tcPr>
          <w:p w14:paraId="4EA56F9D"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1</w:t>
            </w:r>
          </w:p>
        </w:tc>
      </w:tr>
      <w:tr w:rsidR="00842A15" w:rsidRPr="00291BF0" w14:paraId="75FC13B0" w14:textId="77777777" w:rsidTr="26B34547">
        <w:trPr>
          <w:trHeight w:val="252"/>
        </w:trPr>
        <w:tc>
          <w:tcPr>
            <w:tcW w:w="988" w:type="pct"/>
            <w:tcBorders>
              <w:top w:val="nil"/>
              <w:left w:val="single" w:sz="4" w:space="0" w:color="auto"/>
              <w:bottom w:val="single" w:sz="4" w:space="0" w:color="auto"/>
              <w:right w:val="single" w:sz="4" w:space="0" w:color="auto"/>
            </w:tcBorders>
            <w:noWrap/>
            <w:vAlign w:val="bottom"/>
            <w:hideMark/>
          </w:tcPr>
          <w:p w14:paraId="0FDE7CAC"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 </w:t>
            </w:r>
          </w:p>
        </w:tc>
        <w:tc>
          <w:tcPr>
            <w:tcW w:w="844" w:type="pct"/>
            <w:tcBorders>
              <w:top w:val="nil"/>
              <w:left w:val="nil"/>
              <w:bottom w:val="single" w:sz="4" w:space="0" w:color="auto"/>
              <w:right w:val="single" w:sz="4" w:space="0" w:color="auto"/>
            </w:tcBorders>
            <w:noWrap/>
            <w:vAlign w:val="bottom"/>
            <w:hideMark/>
          </w:tcPr>
          <w:p w14:paraId="6561977E"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 </w:t>
            </w:r>
          </w:p>
        </w:tc>
        <w:tc>
          <w:tcPr>
            <w:tcW w:w="1409" w:type="pct"/>
            <w:tcBorders>
              <w:top w:val="nil"/>
              <w:left w:val="nil"/>
              <w:bottom w:val="single" w:sz="4" w:space="0" w:color="auto"/>
              <w:right w:val="single" w:sz="4" w:space="0" w:color="auto"/>
            </w:tcBorders>
            <w:noWrap/>
            <w:vAlign w:val="bottom"/>
            <w:hideMark/>
          </w:tcPr>
          <w:p w14:paraId="6BFDA1C6"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Unsolicited Communication</w:t>
            </w:r>
          </w:p>
        </w:tc>
        <w:tc>
          <w:tcPr>
            <w:tcW w:w="634" w:type="pct"/>
            <w:tcBorders>
              <w:top w:val="nil"/>
              <w:left w:val="nil"/>
              <w:bottom w:val="single" w:sz="4" w:space="0" w:color="auto"/>
              <w:right w:val="single" w:sz="4" w:space="0" w:color="auto"/>
            </w:tcBorders>
            <w:noWrap/>
            <w:vAlign w:val="bottom"/>
            <w:hideMark/>
          </w:tcPr>
          <w:p w14:paraId="7C34236F"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 5</w:t>
            </w:r>
          </w:p>
        </w:tc>
        <w:tc>
          <w:tcPr>
            <w:tcW w:w="633" w:type="pct"/>
            <w:tcBorders>
              <w:top w:val="nil"/>
              <w:left w:val="nil"/>
              <w:bottom w:val="single" w:sz="4" w:space="0" w:color="auto"/>
              <w:right w:val="single" w:sz="4" w:space="0" w:color="auto"/>
            </w:tcBorders>
            <w:noWrap/>
            <w:vAlign w:val="bottom"/>
            <w:hideMark/>
          </w:tcPr>
          <w:p w14:paraId="774058ED"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 5</w:t>
            </w:r>
          </w:p>
        </w:tc>
        <w:tc>
          <w:tcPr>
            <w:tcW w:w="493" w:type="pct"/>
            <w:tcBorders>
              <w:top w:val="nil"/>
              <w:left w:val="nil"/>
              <w:bottom w:val="single" w:sz="4" w:space="0" w:color="auto"/>
              <w:right w:val="single" w:sz="4" w:space="0" w:color="auto"/>
            </w:tcBorders>
            <w:noWrap/>
            <w:vAlign w:val="bottom"/>
            <w:hideMark/>
          </w:tcPr>
          <w:p w14:paraId="7AA062D2"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 0</w:t>
            </w:r>
          </w:p>
        </w:tc>
      </w:tr>
      <w:tr w:rsidR="00842A15" w:rsidRPr="00291BF0" w14:paraId="32C86593" w14:textId="77777777" w:rsidTr="26B34547">
        <w:trPr>
          <w:trHeight w:val="252"/>
        </w:trPr>
        <w:tc>
          <w:tcPr>
            <w:tcW w:w="988" w:type="pct"/>
            <w:tcBorders>
              <w:top w:val="nil"/>
              <w:left w:val="single" w:sz="4" w:space="0" w:color="auto"/>
              <w:bottom w:val="single" w:sz="4" w:space="0" w:color="auto"/>
              <w:right w:val="single" w:sz="4" w:space="0" w:color="auto"/>
            </w:tcBorders>
            <w:noWrap/>
            <w:vAlign w:val="bottom"/>
            <w:hideMark/>
          </w:tcPr>
          <w:p w14:paraId="628C3B73"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 </w:t>
            </w:r>
          </w:p>
        </w:tc>
        <w:tc>
          <w:tcPr>
            <w:tcW w:w="844" w:type="pct"/>
            <w:tcBorders>
              <w:top w:val="nil"/>
              <w:left w:val="nil"/>
              <w:bottom w:val="single" w:sz="4" w:space="0" w:color="auto"/>
              <w:right w:val="single" w:sz="4" w:space="0" w:color="auto"/>
            </w:tcBorders>
            <w:noWrap/>
            <w:vAlign w:val="bottom"/>
            <w:hideMark/>
          </w:tcPr>
          <w:p w14:paraId="38D19600"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 </w:t>
            </w:r>
          </w:p>
        </w:tc>
        <w:tc>
          <w:tcPr>
            <w:tcW w:w="1409" w:type="pct"/>
            <w:tcBorders>
              <w:top w:val="nil"/>
              <w:left w:val="nil"/>
              <w:bottom w:val="single" w:sz="4" w:space="0" w:color="auto"/>
              <w:right w:val="single" w:sz="4" w:space="0" w:color="auto"/>
            </w:tcBorders>
            <w:noWrap/>
            <w:vAlign w:val="bottom"/>
            <w:hideMark/>
          </w:tcPr>
          <w:p w14:paraId="5B745511"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Unauthorized Subscriptions/charges</w:t>
            </w:r>
          </w:p>
        </w:tc>
        <w:tc>
          <w:tcPr>
            <w:tcW w:w="634" w:type="pct"/>
            <w:tcBorders>
              <w:top w:val="nil"/>
              <w:left w:val="nil"/>
              <w:bottom w:val="single" w:sz="4" w:space="0" w:color="auto"/>
              <w:right w:val="single" w:sz="4" w:space="0" w:color="auto"/>
            </w:tcBorders>
            <w:noWrap/>
            <w:vAlign w:val="bottom"/>
            <w:hideMark/>
          </w:tcPr>
          <w:p w14:paraId="18F04991"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 1</w:t>
            </w:r>
          </w:p>
        </w:tc>
        <w:tc>
          <w:tcPr>
            <w:tcW w:w="633" w:type="pct"/>
            <w:tcBorders>
              <w:top w:val="nil"/>
              <w:left w:val="nil"/>
              <w:bottom w:val="single" w:sz="4" w:space="0" w:color="auto"/>
              <w:right w:val="single" w:sz="4" w:space="0" w:color="auto"/>
            </w:tcBorders>
            <w:noWrap/>
            <w:vAlign w:val="bottom"/>
            <w:hideMark/>
          </w:tcPr>
          <w:p w14:paraId="5542F1BA"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 1</w:t>
            </w:r>
          </w:p>
        </w:tc>
        <w:tc>
          <w:tcPr>
            <w:tcW w:w="493" w:type="pct"/>
            <w:tcBorders>
              <w:top w:val="nil"/>
              <w:left w:val="nil"/>
              <w:bottom w:val="single" w:sz="4" w:space="0" w:color="auto"/>
              <w:right w:val="single" w:sz="4" w:space="0" w:color="auto"/>
            </w:tcBorders>
            <w:noWrap/>
            <w:vAlign w:val="bottom"/>
            <w:hideMark/>
          </w:tcPr>
          <w:p w14:paraId="0440534D"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 0</w:t>
            </w:r>
          </w:p>
        </w:tc>
      </w:tr>
      <w:tr w:rsidR="00842A15" w:rsidRPr="00291BF0" w14:paraId="65CB09AF" w14:textId="77777777" w:rsidTr="26B34547">
        <w:trPr>
          <w:trHeight w:val="252"/>
        </w:trPr>
        <w:tc>
          <w:tcPr>
            <w:tcW w:w="988" w:type="pct"/>
            <w:tcBorders>
              <w:top w:val="nil"/>
              <w:left w:val="single" w:sz="4" w:space="0" w:color="auto"/>
              <w:bottom w:val="single" w:sz="4" w:space="0" w:color="auto"/>
              <w:right w:val="single" w:sz="4" w:space="0" w:color="auto"/>
            </w:tcBorders>
            <w:noWrap/>
            <w:vAlign w:val="bottom"/>
            <w:hideMark/>
          </w:tcPr>
          <w:p w14:paraId="4CED7F82"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 </w:t>
            </w:r>
          </w:p>
        </w:tc>
        <w:tc>
          <w:tcPr>
            <w:tcW w:w="844" w:type="pct"/>
            <w:tcBorders>
              <w:top w:val="nil"/>
              <w:left w:val="nil"/>
              <w:bottom w:val="single" w:sz="4" w:space="0" w:color="auto"/>
              <w:right w:val="single" w:sz="4" w:space="0" w:color="auto"/>
            </w:tcBorders>
            <w:noWrap/>
            <w:vAlign w:val="bottom"/>
            <w:hideMark/>
          </w:tcPr>
          <w:p w14:paraId="4E418687"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 </w:t>
            </w:r>
          </w:p>
        </w:tc>
        <w:tc>
          <w:tcPr>
            <w:tcW w:w="1409" w:type="pct"/>
            <w:tcBorders>
              <w:top w:val="nil"/>
              <w:left w:val="nil"/>
              <w:bottom w:val="single" w:sz="4" w:space="0" w:color="auto"/>
              <w:right w:val="single" w:sz="4" w:space="0" w:color="auto"/>
            </w:tcBorders>
            <w:noWrap/>
            <w:vAlign w:val="bottom"/>
            <w:hideMark/>
          </w:tcPr>
          <w:p w14:paraId="42D2BCE3"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Termination</w:t>
            </w:r>
          </w:p>
        </w:tc>
        <w:tc>
          <w:tcPr>
            <w:tcW w:w="634" w:type="pct"/>
            <w:tcBorders>
              <w:top w:val="nil"/>
              <w:left w:val="nil"/>
              <w:bottom w:val="single" w:sz="4" w:space="0" w:color="auto"/>
              <w:right w:val="single" w:sz="4" w:space="0" w:color="auto"/>
            </w:tcBorders>
            <w:noWrap/>
            <w:vAlign w:val="bottom"/>
            <w:hideMark/>
          </w:tcPr>
          <w:p w14:paraId="29A5341F"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16</w:t>
            </w:r>
          </w:p>
        </w:tc>
        <w:tc>
          <w:tcPr>
            <w:tcW w:w="633" w:type="pct"/>
            <w:tcBorders>
              <w:top w:val="nil"/>
              <w:left w:val="nil"/>
              <w:bottom w:val="single" w:sz="4" w:space="0" w:color="auto"/>
              <w:right w:val="single" w:sz="4" w:space="0" w:color="auto"/>
            </w:tcBorders>
            <w:noWrap/>
            <w:vAlign w:val="bottom"/>
            <w:hideMark/>
          </w:tcPr>
          <w:p w14:paraId="41CD5311"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8</w:t>
            </w:r>
          </w:p>
        </w:tc>
        <w:tc>
          <w:tcPr>
            <w:tcW w:w="493" w:type="pct"/>
            <w:tcBorders>
              <w:top w:val="nil"/>
              <w:left w:val="nil"/>
              <w:bottom w:val="single" w:sz="4" w:space="0" w:color="auto"/>
              <w:right w:val="single" w:sz="4" w:space="0" w:color="auto"/>
            </w:tcBorders>
            <w:noWrap/>
            <w:vAlign w:val="bottom"/>
            <w:hideMark/>
          </w:tcPr>
          <w:p w14:paraId="7CF889CA"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8</w:t>
            </w:r>
          </w:p>
        </w:tc>
      </w:tr>
      <w:tr w:rsidR="00842A15" w:rsidRPr="00291BF0" w14:paraId="2334FACA" w14:textId="77777777" w:rsidTr="26B34547">
        <w:trPr>
          <w:trHeight w:val="252"/>
        </w:trPr>
        <w:tc>
          <w:tcPr>
            <w:tcW w:w="988" w:type="pct"/>
            <w:tcBorders>
              <w:top w:val="nil"/>
              <w:left w:val="single" w:sz="4" w:space="0" w:color="auto"/>
              <w:bottom w:val="single" w:sz="4" w:space="0" w:color="auto"/>
              <w:right w:val="single" w:sz="4" w:space="0" w:color="auto"/>
            </w:tcBorders>
            <w:noWrap/>
            <w:vAlign w:val="bottom"/>
            <w:hideMark/>
          </w:tcPr>
          <w:p w14:paraId="393F6FCB"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 </w:t>
            </w:r>
          </w:p>
        </w:tc>
        <w:tc>
          <w:tcPr>
            <w:tcW w:w="844" w:type="pct"/>
            <w:tcBorders>
              <w:top w:val="nil"/>
              <w:left w:val="nil"/>
              <w:bottom w:val="single" w:sz="4" w:space="0" w:color="auto"/>
              <w:right w:val="single" w:sz="4" w:space="0" w:color="auto"/>
            </w:tcBorders>
            <w:noWrap/>
            <w:vAlign w:val="bottom"/>
            <w:hideMark/>
          </w:tcPr>
          <w:p w14:paraId="51B083D4"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 </w:t>
            </w:r>
          </w:p>
        </w:tc>
        <w:tc>
          <w:tcPr>
            <w:tcW w:w="1409" w:type="pct"/>
            <w:tcBorders>
              <w:top w:val="nil"/>
              <w:left w:val="nil"/>
              <w:bottom w:val="single" w:sz="4" w:space="0" w:color="auto"/>
              <w:right w:val="single" w:sz="4" w:space="0" w:color="auto"/>
            </w:tcBorders>
            <w:noWrap/>
            <w:vAlign w:val="bottom"/>
            <w:hideMark/>
          </w:tcPr>
          <w:p w14:paraId="7BBE47FC"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Delay &amp; failure in service provision</w:t>
            </w:r>
          </w:p>
        </w:tc>
        <w:tc>
          <w:tcPr>
            <w:tcW w:w="634" w:type="pct"/>
            <w:tcBorders>
              <w:top w:val="nil"/>
              <w:left w:val="nil"/>
              <w:bottom w:val="single" w:sz="4" w:space="0" w:color="auto"/>
              <w:right w:val="single" w:sz="4" w:space="0" w:color="auto"/>
            </w:tcBorders>
            <w:noWrap/>
            <w:vAlign w:val="bottom"/>
            <w:hideMark/>
          </w:tcPr>
          <w:p w14:paraId="4DDC84EF"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 0</w:t>
            </w:r>
          </w:p>
        </w:tc>
        <w:tc>
          <w:tcPr>
            <w:tcW w:w="633" w:type="pct"/>
            <w:tcBorders>
              <w:top w:val="nil"/>
              <w:left w:val="nil"/>
              <w:bottom w:val="single" w:sz="4" w:space="0" w:color="auto"/>
              <w:right w:val="single" w:sz="4" w:space="0" w:color="auto"/>
            </w:tcBorders>
            <w:noWrap/>
            <w:vAlign w:val="bottom"/>
            <w:hideMark/>
          </w:tcPr>
          <w:p w14:paraId="1FE49E5E"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 0</w:t>
            </w:r>
          </w:p>
        </w:tc>
        <w:tc>
          <w:tcPr>
            <w:tcW w:w="493" w:type="pct"/>
            <w:tcBorders>
              <w:top w:val="nil"/>
              <w:left w:val="nil"/>
              <w:bottom w:val="single" w:sz="4" w:space="0" w:color="auto"/>
              <w:right w:val="single" w:sz="4" w:space="0" w:color="auto"/>
            </w:tcBorders>
            <w:noWrap/>
            <w:vAlign w:val="bottom"/>
            <w:hideMark/>
          </w:tcPr>
          <w:p w14:paraId="209C31F3"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 0</w:t>
            </w:r>
          </w:p>
        </w:tc>
      </w:tr>
      <w:tr w:rsidR="00842A15" w:rsidRPr="00291BF0" w14:paraId="1A538BC9" w14:textId="77777777" w:rsidTr="26B34547">
        <w:trPr>
          <w:trHeight w:val="252"/>
        </w:trPr>
        <w:tc>
          <w:tcPr>
            <w:tcW w:w="988" w:type="pct"/>
            <w:tcBorders>
              <w:top w:val="nil"/>
              <w:left w:val="single" w:sz="4" w:space="0" w:color="auto"/>
              <w:bottom w:val="single" w:sz="4" w:space="0" w:color="auto"/>
              <w:right w:val="single" w:sz="4" w:space="0" w:color="auto"/>
            </w:tcBorders>
            <w:noWrap/>
            <w:vAlign w:val="bottom"/>
            <w:hideMark/>
          </w:tcPr>
          <w:p w14:paraId="4285E41C"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 </w:t>
            </w:r>
          </w:p>
        </w:tc>
        <w:tc>
          <w:tcPr>
            <w:tcW w:w="844" w:type="pct"/>
            <w:tcBorders>
              <w:top w:val="nil"/>
              <w:left w:val="nil"/>
              <w:bottom w:val="single" w:sz="4" w:space="0" w:color="auto"/>
              <w:right w:val="single" w:sz="4" w:space="0" w:color="auto"/>
            </w:tcBorders>
            <w:noWrap/>
            <w:vAlign w:val="bottom"/>
            <w:hideMark/>
          </w:tcPr>
          <w:p w14:paraId="258CE003"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 </w:t>
            </w:r>
          </w:p>
        </w:tc>
        <w:tc>
          <w:tcPr>
            <w:tcW w:w="1409" w:type="pct"/>
            <w:tcBorders>
              <w:top w:val="single" w:sz="4" w:space="0" w:color="auto"/>
              <w:left w:val="nil"/>
              <w:bottom w:val="single" w:sz="4" w:space="0" w:color="auto"/>
              <w:right w:val="single" w:sz="4" w:space="0" w:color="auto"/>
            </w:tcBorders>
            <w:noWrap/>
            <w:vAlign w:val="bottom"/>
            <w:hideMark/>
          </w:tcPr>
          <w:p w14:paraId="287AA4C3"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 xml:space="preserve">Poor Network (unavailability &amp; Inaccessibility) </w:t>
            </w:r>
          </w:p>
        </w:tc>
        <w:tc>
          <w:tcPr>
            <w:tcW w:w="634" w:type="pct"/>
            <w:tcBorders>
              <w:top w:val="single" w:sz="4" w:space="0" w:color="auto"/>
              <w:left w:val="nil"/>
              <w:bottom w:val="single" w:sz="4" w:space="0" w:color="auto"/>
              <w:right w:val="single" w:sz="4" w:space="0" w:color="auto"/>
            </w:tcBorders>
            <w:noWrap/>
            <w:vAlign w:val="bottom"/>
            <w:hideMark/>
          </w:tcPr>
          <w:p w14:paraId="040FA63C"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0</w:t>
            </w:r>
          </w:p>
        </w:tc>
        <w:tc>
          <w:tcPr>
            <w:tcW w:w="633" w:type="pct"/>
            <w:tcBorders>
              <w:top w:val="single" w:sz="4" w:space="0" w:color="auto"/>
              <w:left w:val="nil"/>
              <w:bottom w:val="single" w:sz="4" w:space="0" w:color="auto"/>
              <w:right w:val="single" w:sz="4" w:space="0" w:color="auto"/>
            </w:tcBorders>
            <w:noWrap/>
            <w:vAlign w:val="bottom"/>
            <w:hideMark/>
          </w:tcPr>
          <w:p w14:paraId="6768F3A8"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0</w:t>
            </w:r>
          </w:p>
        </w:tc>
        <w:tc>
          <w:tcPr>
            <w:tcW w:w="493" w:type="pct"/>
            <w:tcBorders>
              <w:top w:val="single" w:sz="4" w:space="0" w:color="auto"/>
              <w:left w:val="nil"/>
              <w:bottom w:val="single" w:sz="4" w:space="0" w:color="auto"/>
              <w:right w:val="single" w:sz="4" w:space="0" w:color="auto"/>
            </w:tcBorders>
            <w:noWrap/>
            <w:vAlign w:val="bottom"/>
            <w:hideMark/>
          </w:tcPr>
          <w:p w14:paraId="40586626"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0</w:t>
            </w:r>
          </w:p>
        </w:tc>
      </w:tr>
      <w:tr w:rsidR="00842A15" w:rsidRPr="00291BF0" w14:paraId="50649C09" w14:textId="77777777" w:rsidTr="26B34547">
        <w:trPr>
          <w:trHeight w:val="252"/>
        </w:trPr>
        <w:tc>
          <w:tcPr>
            <w:tcW w:w="988" w:type="pct"/>
            <w:tcBorders>
              <w:top w:val="nil"/>
              <w:left w:val="single" w:sz="4" w:space="0" w:color="auto"/>
              <w:bottom w:val="single" w:sz="4" w:space="0" w:color="auto"/>
              <w:right w:val="single" w:sz="4" w:space="0" w:color="auto"/>
            </w:tcBorders>
            <w:noWrap/>
            <w:vAlign w:val="bottom"/>
            <w:hideMark/>
          </w:tcPr>
          <w:p w14:paraId="1226588B"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 </w:t>
            </w:r>
          </w:p>
        </w:tc>
        <w:tc>
          <w:tcPr>
            <w:tcW w:w="844" w:type="pct"/>
            <w:tcBorders>
              <w:top w:val="nil"/>
              <w:left w:val="nil"/>
              <w:bottom w:val="single" w:sz="4" w:space="0" w:color="auto"/>
              <w:right w:val="single" w:sz="4" w:space="0" w:color="auto"/>
            </w:tcBorders>
            <w:noWrap/>
            <w:vAlign w:val="bottom"/>
            <w:hideMark/>
          </w:tcPr>
          <w:p w14:paraId="641F7AA6"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 </w:t>
            </w:r>
          </w:p>
        </w:tc>
        <w:tc>
          <w:tcPr>
            <w:tcW w:w="1409" w:type="pct"/>
            <w:tcBorders>
              <w:top w:val="single" w:sz="4" w:space="0" w:color="auto"/>
              <w:left w:val="nil"/>
              <w:bottom w:val="single" w:sz="4" w:space="0" w:color="auto"/>
              <w:right w:val="single" w:sz="4" w:space="0" w:color="auto"/>
            </w:tcBorders>
            <w:noWrap/>
            <w:vAlign w:val="bottom"/>
            <w:hideMark/>
          </w:tcPr>
          <w:p w14:paraId="26B12E50"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 </w:t>
            </w:r>
          </w:p>
        </w:tc>
        <w:tc>
          <w:tcPr>
            <w:tcW w:w="634" w:type="pct"/>
            <w:tcBorders>
              <w:top w:val="single" w:sz="4" w:space="0" w:color="auto"/>
              <w:left w:val="single" w:sz="4" w:space="0" w:color="auto"/>
              <w:bottom w:val="single" w:sz="4" w:space="0" w:color="auto"/>
              <w:right w:val="single" w:sz="4" w:space="0" w:color="auto"/>
            </w:tcBorders>
            <w:noWrap/>
            <w:vAlign w:val="bottom"/>
            <w:hideMark/>
          </w:tcPr>
          <w:p w14:paraId="764A7E23"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p>
        </w:tc>
        <w:tc>
          <w:tcPr>
            <w:tcW w:w="633" w:type="pct"/>
            <w:tcBorders>
              <w:top w:val="single" w:sz="4" w:space="0" w:color="auto"/>
              <w:left w:val="single" w:sz="4" w:space="0" w:color="auto"/>
              <w:bottom w:val="single" w:sz="4" w:space="0" w:color="auto"/>
              <w:right w:val="single" w:sz="4" w:space="0" w:color="auto"/>
            </w:tcBorders>
            <w:noWrap/>
            <w:vAlign w:val="bottom"/>
            <w:hideMark/>
          </w:tcPr>
          <w:p w14:paraId="22D60512" w14:textId="77777777" w:rsidR="00842A15" w:rsidRPr="00291BF0" w:rsidRDefault="00842A15" w:rsidP="00240F9B">
            <w:pPr>
              <w:widowControl/>
              <w:autoSpaceDE/>
              <w:autoSpaceDN/>
              <w:spacing w:before="100" w:beforeAutospacing="1" w:after="100" w:afterAutospacing="1" w:line="276" w:lineRule="auto"/>
              <w:jc w:val="both"/>
              <w:rPr>
                <w:sz w:val="20"/>
                <w:szCs w:val="20"/>
                <w:lang w:eastAsia="en-GB"/>
              </w:rPr>
            </w:pPr>
          </w:p>
        </w:tc>
        <w:tc>
          <w:tcPr>
            <w:tcW w:w="493" w:type="pct"/>
            <w:tcBorders>
              <w:top w:val="single" w:sz="4" w:space="0" w:color="auto"/>
              <w:left w:val="single" w:sz="4" w:space="0" w:color="auto"/>
              <w:bottom w:val="single" w:sz="4" w:space="0" w:color="auto"/>
              <w:right w:val="single" w:sz="4" w:space="0" w:color="auto"/>
            </w:tcBorders>
            <w:noWrap/>
            <w:vAlign w:val="bottom"/>
            <w:hideMark/>
          </w:tcPr>
          <w:p w14:paraId="078D3CDD"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 </w:t>
            </w:r>
          </w:p>
        </w:tc>
      </w:tr>
      <w:tr w:rsidR="00842A15" w:rsidRPr="00291BF0" w14:paraId="5CF7C22B" w14:textId="77777777" w:rsidTr="26B34547">
        <w:trPr>
          <w:trHeight w:val="252"/>
        </w:trPr>
        <w:tc>
          <w:tcPr>
            <w:tcW w:w="988" w:type="pct"/>
            <w:tcBorders>
              <w:top w:val="nil"/>
              <w:left w:val="single" w:sz="4" w:space="0" w:color="auto"/>
              <w:bottom w:val="single" w:sz="4" w:space="0" w:color="auto"/>
              <w:right w:val="single" w:sz="4" w:space="0" w:color="auto"/>
            </w:tcBorders>
            <w:noWrap/>
            <w:vAlign w:val="bottom"/>
            <w:hideMark/>
          </w:tcPr>
          <w:p w14:paraId="3EC2F67D"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 </w:t>
            </w:r>
          </w:p>
        </w:tc>
        <w:tc>
          <w:tcPr>
            <w:tcW w:w="844" w:type="pct"/>
            <w:tcBorders>
              <w:top w:val="nil"/>
              <w:left w:val="nil"/>
              <w:bottom w:val="single" w:sz="4" w:space="0" w:color="auto"/>
              <w:right w:val="single" w:sz="4" w:space="0" w:color="auto"/>
            </w:tcBorders>
            <w:noWrap/>
            <w:vAlign w:val="bottom"/>
            <w:hideMark/>
          </w:tcPr>
          <w:p w14:paraId="5876DE7E"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Data (Including Text/SMS)</w:t>
            </w:r>
          </w:p>
        </w:tc>
        <w:tc>
          <w:tcPr>
            <w:tcW w:w="1409" w:type="pct"/>
            <w:tcBorders>
              <w:top w:val="single" w:sz="4" w:space="0" w:color="auto"/>
              <w:left w:val="nil"/>
              <w:bottom w:val="single" w:sz="4" w:space="0" w:color="auto"/>
              <w:right w:val="single" w:sz="4" w:space="0" w:color="auto"/>
            </w:tcBorders>
            <w:noWrap/>
            <w:vAlign w:val="bottom"/>
            <w:hideMark/>
          </w:tcPr>
          <w:p w14:paraId="634273BE"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 </w:t>
            </w:r>
          </w:p>
        </w:tc>
        <w:tc>
          <w:tcPr>
            <w:tcW w:w="634" w:type="pct"/>
            <w:tcBorders>
              <w:top w:val="single" w:sz="4" w:space="0" w:color="auto"/>
              <w:left w:val="nil"/>
              <w:bottom w:val="single" w:sz="4" w:space="0" w:color="auto"/>
              <w:right w:val="nil"/>
            </w:tcBorders>
            <w:noWrap/>
            <w:vAlign w:val="bottom"/>
            <w:hideMark/>
          </w:tcPr>
          <w:p w14:paraId="075F366A" w14:textId="77777777" w:rsidR="00842A15" w:rsidRPr="00291BF0" w:rsidRDefault="00842A15" w:rsidP="00240F9B">
            <w:pPr>
              <w:widowControl/>
              <w:autoSpaceDE/>
              <w:autoSpaceDN/>
              <w:spacing w:before="100" w:beforeAutospacing="1" w:after="100" w:afterAutospacing="1" w:line="276" w:lineRule="auto"/>
              <w:jc w:val="both"/>
              <w:rPr>
                <w:b/>
                <w:bCs/>
                <w:color w:val="000000"/>
                <w:sz w:val="20"/>
                <w:szCs w:val="20"/>
                <w:lang w:eastAsia="en-GB"/>
              </w:rPr>
            </w:pPr>
            <w:r w:rsidRPr="00291BF0">
              <w:rPr>
                <w:b/>
                <w:bCs/>
                <w:color w:val="000000"/>
                <w:sz w:val="20"/>
                <w:szCs w:val="20"/>
                <w:lang w:eastAsia="en-GB"/>
              </w:rPr>
              <w:t>195</w:t>
            </w:r>
          </w:p>
        </w:tc>
        <w:tc>
          <w:tcPr>
            <w:tcW w:w="633" w:type="pct"/>
            <w:tcBorders>
              <w:top w:val="single" w:sz="4" w:space="0" w:color="auto"/>
              <w:left w:val="single" w:sz="4" w:space="0" w:color="auto"/>
              <w:bottom w:val="single" w:sz="4" w:space="0" w:color="auto"/>
              <w:right w:val="single" w:sz="4" w:space="0" w:color="auto"/>
            </w:tcBorders>
            <w:noWrap/>
            <w:vAlign w:val="bottom"/>
            <w:hideMark/>
          </w:tcPr>
          <w:p w14:paraId="6AB733AE" w14:textId="77777777" w:rsidR="00842A15" w:rsidRPr="00291BF0" w:rsidRDefault="00842A15" w:rsidP="00240F9B">
            <w:pPr>
              <w:widowControl/>
              <w:autoSpaceDE/>
              <w:autoSpaceDN/>
              <w:spacing w:before="100" w:beforeAutospacing="1" w:after="100" w:afterAutospacing="1" w:line="276" w:lineRule="auto"/>
              <w:jc w:val="both"/>
              <w:rPr>
                <w:b/>
                <w:bCs/>
                <w:color w:val="000000"/>
                <w:sz w:val="20"/>
                <w:szCs w:val="20"/>
                <w:lang w:eastAsia="en-GB"/>
              </w:rPr>
            </w:pPr>
            <w:r w:rsidRPr="00291BF0">
              <w:rPr>
                <w:b/>
                <w:bCs/>
                <w:color w:val="000000"/>
                <w:sz w:val="20"/>
                <w:szCs w:val="20"/>
                <w:lang w:eastAsia="en-GB"/>
              </w:rPr>
              <w:t>139</w:t>
            </w:r>
          </w:p>
        </w:tc>
        <w:tc>
          <w:tcPr>
            <w:tcW w:w="493" w:type="pct"/>
            <w:tcBorders>
              <w:top w:val="single" w:sz="4" w:space="0" w:color="auto"/>
              <w:left w:val="nil"/>
              <w:bottom w:val="single" w:sz="4" w:space="0" w:color="auto"/>
              <w:right w:val="single" w:sz="4" w:space="0" w:color="auto"/>
            </w:tcBorders>
            <w:noWrap/>
            <w:vAlign w:val="bottom"/>
            <w:hideMark/>
          </w:tcPr>
          <w:p w14:paraId="11469CBD" w14:textId="77777777" w:rsidR="00842A15" w:rsidRPr="00291BF0" w:rsidRDefault="00842A15" w:rsidP="00240F9B">
            <w:pPr>
              <w:widowControl/>
              <w:autoSpaceDE/>
              <w:autoSpaceDN/>
              <w:spacing w:before="100" w:beforeAutospacing="1" w:after="100" w:afterAutospacing="1" w:line="276" w:lineRule="auto"/>
              <w:jc w:val="both"/>
              <w:rPr>
                <w:b/>
                <w:bCs/>
                <w:color w:val="000000"/>
                <w:sz w:val="20"/>
                <w:szCs w:val="20"/>
                <w:lang w:eastAsia="en-GB"/>
              </w:rPr>
            </w:pPr>
            <w:r w:rsidRPr="00291BF0">
              <w:rPr>
                <w:b/>
                <w:bCs/>
                <w:color w:val="000000"/>
                <w:sz w:val="20"/>
                <w:szCs w:val="20"/>
                <w:lang w:eastAsia="en-GB"/>
              </w:rPr>
              <w:t>56</w:t>
            </w:r>
          </w:p>
        </w:tc>
      </w:tr>
      <w:tr w:rsidR="00842A15" w:rsidRPr="00291BF0" w14:paraId="55D524D2" w14:textId="77777777" w:rsidTr="26B34547">
        <w:trPr>
          <w:trHeight w:val="252"/>
        </w:trPr>
        <w:tc>
          <w:tcPr>
            <w:tcW w:w="988" w:type="pct"/>
            <w:tcBorders>
              <w:top w:val="nil"/>
              <w:left w:val="single" w:sz="4" w:space="0" w:color="auto"/>
              <w:bottom w:val="single" w:sz="4" w:space="0" w:color="auto"/>
              <w:right w:val="single" w:sz="4" w:space="0" w:color="auto"/>
            </w:tcBorders>
            <w:noWrap/>
            <w:vAlign w:val="bottom"/>
            <w:hideMark/>
          </w:tcPr>
          <w:p w14:paraId="27E0DEB6"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 </w:t>
            </w:r>
          </w:p>
        </w:tc>
        <w:tc>
          <w:tcPr>
            <w:tcW w:w="844" w:type="pct"/>
            <w:tcBorders>
              <w:top w:val="nil"/>
              <w:left w:val="nil"/>
              <w:bottom w:val="single" w:sz="4" w:space="0" w:color="auto"/>
              <w:right w:val="single" w:sz="4" w:space="0" w:color="auto"/>
            </w:tcBorders>
            <w:noWrap/>
            <w:vAlign w:val="bottom"/>
            <w:hideMark/>
          </w:tcPr>
          <w:p w14:paraId="78CCC5F4"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 </w:t>
            </w:r>
          </w:p>
        </w:tc>
        <w:tc>
          <w:tcPr>
            <w:tcW w:w="1409" w:type="pct"/>
            <w:tcBorders>
              <w:top w:val="single" w:sz="4" w:space="0" w:color="auto"/>
              <w:left w:val="nil"/>
              <w:bottom w:val="single" w:sz="4" w:space="0" w:color="auto"/>
              <w:right w:val="single" w:sz="4" w:space="0" w:color="auto"/>
            </w:tcBorders>
            <w:noWrap/>
            <w:vAlign w:val="bottom"/>
            <w:hideMark/>
          </w:tcPr>
          <w:p w14:paraId="62D319AD"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Quality of Service (QoS)</w:t>
            </w:r>
          </w:p>
        </w:tc>
        <w:tc>
          <w:tcPr>
            <w:tcW w:w="634" w:type="pct"/>
            <w:tcBorders>
              <w:top w:val="single" w:sz="4" w:space="0" w:color="auto"/>
              <w:left w:val="nil"/>
              <w:bottom w:val="single" w:sz="4" w:space="0" w:color="auto"/>
              <w:right w:val="single" w:sz="4" w:space="0" w:color="auto"/>
            </w:tcBorders>
            <w:noWrap/>
            <w:vAlign w:val="bottom"/>
            <w:hideMark/>
          </w:tcPr>
          <w:p w14:paraId="578CDB3C"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22</w:t>
            </w:r>
          </w:p>
        </w:tc>
        <w:tc>
          <w:tcPr>
            <w:tcW w:w="633" w:type="pct"/>
            <w:tcBorders>
              <w:top w:val="single" w:sz="4" w:space="0" w:color="auto"/>
              <w:left w:val="nil"/>
              <w:bottom w:val="single" w:sz="4" w:space="0" w:color="auto"/>
              <w:right w:val="single" w:sz="4" w:space="0" w:color="auto"/>
            </w:tcBorders>
            <w:noWrap/>
            <w:vAlign w:val="bottom"/>
            <w:hideMark/>
          </w:tcPr>
          <w:p w14:paraId="51C38162"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15</w:t>
            </w:r>
          </w:p>
        </w:tc>
        <w:tc>
          <w:tcPr>
            <w:tcW w:w="493" w:type="pct"/>
            <w:tcBorders>
              <w:top w:val="single" w:sz="4" w:space="0" w:color="auto"/>
              <w:left w:val="nil"/>
              <w:bottom w:val="single" w:sz="4" w:space="0" w:color="auto"/>
              <w:right w:val="single" w:sz="4" w:space="0" w:color="auto"/>
            </w:tcBorders>
            <w:noWrap/>
            <w:vAlign w:val="bottom"/>
            <w:hideMark/>
          </w:tcPr>
          <w:p w14:paraId="54477EB7"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4</w:t>
            </w:r>
          </w:p>
        </w:tc>
      </w:tr>
      <w:tr w:rsidR="00842A15" w:rsidRPr="00291BF0" w14:paraId="4F3D5FFD" w14:textId="77777777" w:rsidTr="26B34547">
        <w:trPr>
          <w:trHeight w:val="252"/>
        </w:trPr>
        <w:tc>
          <w:tcPr>
            <w:tcW w:w="988" w:type="pct"/>
            <w:tcBorders>
              <w:top w:val="nil"/>
              <w:left w:val="single" w:sz="4" w:space="0" w:color="auto"/>
              <w:bottom w:val="single" w:sz="4" w:space="0" w:color="auto"/>
              <w:right w:val="single" w:sz="4" w:space="0" w:color="auto"/>
            </w:tcBorders>
            <w:noWrap/>
            <w:vAlign w:val="bottom"/>
            <w:hideMark/>
          </w:tcPr>
          <w:p w14:paraId="6CF26D2B"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 </w:t>
            </w:r>
          </w:p>
        </w:tc>
        <w:tc>
          <w:tcPr>
            <w:tcW w:w="844" w:type="pct"/>
            <w:tcBorders>
              <w:top w:val="nil"/>
              <w:left w:val="nil"/>
              <w:bottom w:val="single" w:sz="4" w:space="0" w:color="auto"/>
              <w:right w:val="single" w:sz="4" w:space="0" w:color="auto"/>
            </w:tcBorders>
            <w:noWrap/>
            <w:vAlign w:val="bottom"/>
            <w:hideMark/>
          </w:tcPr>
          <w:p w14:paraId="2B530581"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 </w:t>
            </w:r>
          </w:p>
        </w:tc>
        <w:tc>
          <w:tcPr>
            <w:tcW w:w="1409" w:type="pct"/>
            <w:tcBorders>
              <w:top w:val="nil"/>
              <w:left w:val="nil"/>
              <w:bottom w:val="single" w:sz="4" w:space="0" w:color="auto"/>
              <w:right w:val="single" w:sz="4" w:space="0" w:color="auto"/>
            </w:tcBorders>
            <w:noWrap/>
            <w:vAlign w:val="bottom"/>
            <w:hideMark/>
          </w:tcPr>
          <w:p w14:paraId="2B06FB82"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Interruption</w:t>
            </w:r>
          </w:p>
        </w:tc>
        <w:tc>
          <w:tcPr>
            <w:tcW w:w="634" w:type="pct"/>
            <w:tcBorders>
              <w:top w:val="nil"/>
              <w:left w:val="nil"/>
              <w:bottom w:val="single" w:sz="4" w:space="0" w:color="auto"/>
              <w:right w:val="single" w:sz="4" w:space="0" w:color="auto"/>
            </w:tcBorders>
            <w:noWrap/>
            <w:vAlign w:val="bottom"/>
            <w:hideMark/>
          </w:tcPr>
          <w:p w14:paraId="45EB754E"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14</w:t>
            </w:r>
          </w:p>
        </w:tc>
        <w:tc>
          <w:tcPr>
            <w:tcW w:w="633" w:type="pct"/>
            <w:tcBorders>
              <w:top w:val="nil"/>
              <w:left w:val="nil"/>
              <w:bottom w:val="single" w:sz="4" w:space="0" w:color="auto"/>
              <w:right w:val="single" w:sz="4" w:space="0" w:color="auto"/>
            </w:tcBorders>
            <w:noWrap/>
            <w:vAlign w:val="bottom"/>
            <w:hideMark/>
          </w:tcPr>
          <w:p w14:paraId="75000B52"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11</w:t>
            </w:r>
          </w:p>
        </w:tc>
        <w:tc>
          <w:tcPr>
            <w:tcW w:w="493" w:type="pct"/>
            <w:tcBorders>
              <w:top w:val="nil"/>
              <w:left w:val="nil"/>
              <w:bottom w:val="single" w:sz="4" w:space="0" w:color="auto"/>
              <w:right w:val="single" w:sz="4" w:space="0" w:color="auto"/>
            </w:tcBorders>
            <w:noWrap/>
            <w:vAlign w:val="bottom"/>
            <w:hideMark/>
          </w:tcPr>
          <w:p w14:paraId="1DBF4EC3"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0</w:t>
            </w:r>
          </w:p>
        </w:tc>
      </w:tr>
      <w:tr w:rsidR="00842A15" w:rsidRPr="00291BF0" w14:paraId="7B1559D2" w14:textId="77777777" w:rsidTr="26B34547">
        <w:trPr>
          <w:trHeight w:val="252"/>
        </w:trPr>
        <w:tc>
          <w:tcPr>
            <w:tcW w:w="988" w:type="pct"/>
            <w:tcBorders>
              <w:top w:val="nil"/>
              <w:left w:val="single" w:sz="4" w:space="0" w:color="auto"/>
              <w:bottom w:val="single" w:sz="4" w:space="0" w:color="auto"/>
              <w:right w:val="single" w:sz="4" w:space="0" w:color="auto"/>
            </w:tcBorders>
            <w:noWrap/>
            <w:vAlign w:val="bottom"/>
            <w:hideMark/>
          </w:tcPr>
          <w:p w14:paraId="00983BE4"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 </w:t>
            </w:r>
          </w:p>
        </w:tc>
        <w:tc>
          <w:tcPr>
            <w:tcW w:w="844" w:type="pct"/>
            <w:tcBorders>
              <w:top w:val="nil"/>
              <w:left w:val="nil"/>
              <w:bottom w:val="single" w:sz="4" w:space="0" w:color="auto"/>
              <w:right w:val="single" w:sz="4" w:space="0" w:color="auto"/>
            </w:tcBorders>
            <w:noWrap/>
            <w:vAlign w:val="bottom"/>
            <w:hideMark/>
          </w:tcPr>
          <w:p w14:paraId="6B3E382C"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 </w:t>
            </w:r>
          </w:p>
        </w:tc>
        <w:tc>
          <w:tcPr>
            <w:tcW w:w="1409" w:type="pct"/>
            <w:tcBorders>
              <w:top w:val="nil"/>
              <w:left w:val="nil"/>
              <w:bottom w:val="single" w:sz="4" w:space="0" w:color="auto"/>
              <w:right w:val="single" w:sz="4" w:space="0" w:color="auto"/>
            </w:tcBorders>
            <w:noWrap/>
            <w:vAlign w:val="bottom"/>
            <w:hideMark/>
          </w:tcPr>
          <w:p w14:paraId="4CFDDF7A"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Billing &amp; Charges</w:t>
            </w:r>
          </w:p>
        </w:tc>
        <w:tc>
          <w:tcPr>
            <w:tcW w:w="634" w:type="pct"/>
            <w:tcBorders>
              <w:top w:val="nil"/>
              <w:left w:val="nil"/>
              <w:bottom w:val="single" w:sz="4" w:space="0" w:color="auto"/>
              <w:right w:val="single" w:sz="4" w:space="0" w:color="auto"/>
            </w:tcBorders>
            <w:noWrap/>
            <w:vAlign w:val="bottom"/>
            <w:hideMark/>
          </w:tcPr>
          <w:p w14:paraId="42733B7D"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75</w:t>
            </w:r>
          </w:p>
        </w:tc>
        <w:tc>
          <w:tcPr>
            <w:tcW w:w="633" w:type="pct"/>
            <w:tcBorders>
              <w:top w:val="nil"/>
              <w:left w:val="nil"/>
              <w:bottom w:val="single" w:sz="4" w:space="0" w:color="auto"/>
              <w:right w:val="single" w:sz="4" w:space="0" w:color="auto"/>
            </w:tcBorders>
            <w:noWrap/>
            <w:vAlign w:val="bottom"/>
            <w:hideMark/>
          </w:tcPr>
          <w:p w14:paraId="59BE0107"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59</w:t>
            </w:r>
          </w:p>
        </w:tc>
        <w:tc>
          <w:tcPr>
            <w:tcW w:w="493" w:type="pct"/>
            <w:tcBorders>
              <w:top w:val="nil"/>
              <w:left w:val="nil"/>
              <w:bottom w:val="single" w:sz="4" w:space="0" w:color="auto"/>
              <w:right w:val="single" w:sz="4" w:space="0" w:color="auto"/>
            </w:tcBorders>
            <w:noWrap/>
            <w:vAlign w:val="bottom"/>
            <w:hideMark/>
          </w:tcPr>
          <w:p w14:paraId="693A427B"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2</w:t>
            </w:r>
          </w:p>
        </w:tc>
      </w:tr>
      <w:tr w:rsidR="00842A15" w:rsidRPr="00291BF0" w14:paraId="3A4829C2" w14:textId="77777777" w:rsidTr="26B34547">
        <w:trPr>
          <w:trHeight w:val="252"/>
        </w:trPr>
        <w:tc>
          <w:tcPr>
            <w:tcW w:w="988" w:type="pct"/>
            <w:tcBorders>
              <w:top w:val="nil"/>
              <w:left w:val="single" w:sz="4" w:space="0" w:color="auto"/>
              <w:bottom w:val="single" w:sz="4" w:space="0" w:color="auto"/>
              <w:right w:val="single" w:sz="4" w:space="0" w:color="auto"/>
            </w:tcBorders>
            <w:noWrap/>
            <w:vAlign w:val="bottom"/>
            <w:hideMark/>
          </w:tcPr>
          <w:p w14:paraId="7D23D821"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 </w:t>
            </w:r>
          </w:p>
        </w:tc>
        <w:tc>
          <w:tcPr>
            <w:tcW w:w="844" w:type="pct"/>
            <w:tcBorders>
              <w:top w:val="nil"/>
              <w:left w:val="nil"/>
              <w:bottom w:val="single" w:sz="4" w:space="0" w:color="auto"/>
              <w:right w:val="single" w:sz="4" w:space="0" w:color="auto"/>
            </w:tcBorders>
            <w:noWrap/>
            <w:vAlign w:val="bottom"/>
            <w:hideMark/>
          </w:tcPr>
          <w:p w14:paraId="63275A27"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 </w:t>
            </w:r>
          </w:p>
        </w:tc>
        <w:tc>
          <w:tcPr>
            <w:tcW w:w="1409" w:type="pct"/>
            <w:tcBorders>
              <w:top w:val="nil"/>
              <w:left w:val="nil"/>
              <w:bottom w:val="single" w:sz="4" w:space="0" w:color="auto"/>
              <w:right w:val="single" w:sz="4" w:space="0" w:color="auto"/>
            </w:tcBorders>
            <w:noWrap/>
            <w:vAlign w:val="bottom"/>
            <w:hideMark/>
          </w:tcPr>
          <w:p w14:paraId="77BA8738"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Fraud</w:t>
            </w:r>
          </w:p>
        </w:tc>
        <w:tc>
          <w:tcPr>
            <w:tcW w:w="634" w:type="pct"/>
            <w:tcBorders>
              <w:top w:val="nil"/>
              <w:left w:val="nil"/>
              <w:bottom w:val="single" w:sz="4" w:space="0" w:color="auto"/>
              <w:right w:val="single" w:sz="4" w:space="0" w:color="auto"/>
            </w:tcBorders>
            <w:noWrap/>
            <w:vAlign w:val="bottom"/>
            <w:hideMark/>
          </w:tcPr>
          <w:p w14:paraId="49E2759D"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13</w:t>
            </w:r>
          </w:p>
        </w:tc>
        <w:tc>
          <w:tcPr>
            <w:tcW w:w="633" w:type="pct"/>
            <w:tcBorders>
              <w:top w:val="nil"/>
              <w:left w:val="nil"/>
              <w:bottom w:val="single" w:sz="4" w:space="0" w:color="auto"/>
              <w:right w:val="single" w:sz="4" w:space="0" w:color="auto"/>
            </w:tcBorders>
            <w:noWrap/>
            <w:vAlign w:val="bottom"/>
            <w:hideMark/>
          </w:tcPr>
          <w:p w14:paraId="0FC6F50F"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10</w:t>
            </w:r>
          </w:p>
        </w:tc>
        <w:tc>
          <w:tcPr>
            <w:tcW w:w="493" w:type="pct"/>
            <w:tcBorders>
              <w:top w:val="nil"/>
              <w:left w:val="nil"/>
              <w:bottom w:val="single" w:sz="4" w:space="0" w:color="auto"/>
              <w:right w:val="single" w:sz="4" w:space="0" w:color="auto"/>
            </w:tcBorders>
            <w:noWrap/>
            <w:vAlign w:val="bottom"/>
            <w:hideMark/>
          </w:tcPr>
          <w:p w14:paraId="5EB3FEF0"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0</w:t>
            </w:r>
          </w:p>
        </w:tc>
      </w:tr>
      <w:tr w:rsidR="00842A15" w:rsidRPr="00291BF0" w14:paraId="5764F020" w14:textId="77777777" w:rsidTr="26B34547">
        <w:trPr>
          <w:trHeight w:val="252"/>
        </w:trPr>
        <w:tc>
          <w:tcPr>
            <w:tcW w:w="988" w:type="pct"/>
            <w:tcBorders>
              <w:top w:val="nil"/>
              <w:left w:val="single" w:sz="4" w:space="0" w:color="auto"/>
              <w:bottom w:val="single" w:sz="4" w:space="0" w:color="auto"/>
              <w:right w:val="single" w:sz="4" w:space="0" w:color="auto"/>
            </w:tcBorders>
            <w:noWrap/>
            <w:vAlign w:val="bottom"/>
            <w:hideMark/>
          </w:tcPr>
          <w:p w14:paraId="7D76D8E1"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 </w:t>
            </w:r>
          </w:p>
        </w:tc>
        <w:tc>
          <w:tcPr>
            <w:tcW w:w="844" w:type="pct"/>
            <w:tcBorders>
              <w:top w:val="nil"/>
              <w:left w:val="nil"/>
              <w:bottom w:val="single" w:sz="4" w:space="0" w:color="auto"/>
              <w:right w:val="single" w:sz="4" w:space="0" w:color="auto"/>
            </w:tcBorders>
            <w:noWrap/>
            <w:vAlign w:val="bottom"/>
            <w:hideMark/>
          </w:tcPr>
          <w:p w14:paraId="536B3509"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 </w:t>
            </w:r>
          </w:p>
        </w:tc>
        <w:tc>
          <w:tcPr>
            <w:tcW w:w="1409" w:type="pct"/>
            <w:tcBorders>
              <w:top w:val="nil"/>
              <w:left w:val="nil"/>
              <w:bottom w:val="single" w:sz="4" w:space="0" w:color="auto"/>
              <w:right w:val="single" w:sz="4" w:space="0" w:color="auto"/>
            </w:tcBorders>
            <w:noWrap/>
            <w:vAlign w:val="bottom"/>
            <w:hideMark/>
          </w:tcPr>
          <w:p w14:paraId="52DE7981"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Unsolicited communication</w:t>
            </w:r>
          </w:p>
        </w:tc>
        <w:tc>
          <w:tcPr>
            <w:tcW w:w="634" w:type="pct"/>
            <w:tcBorders>
              <w:top w:val="nil"/>
              <w:left w:val="nil"/>
              <w:bottom w:val="single" w:sz="4" w:space="0" w:color="auto"/>
              <w:right w:val="single" w:sz="4" w:space="0" w:color="auto"/>
            </w:tcBorders>
            <w:noWrap/>
            <w:vAlign w:val="bottom"/>
            <w:hideMark/>
          </w:tcPr>
          <w:p w14:paraId="3BE81E88"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8</w:t>
            </w:r>
          </w:p>
        </w:tc>
        <w:tc>
          <w:tcPr>
            <w:tcW w:w="633" w:type="pct"/>
            <w:tcBorders>
              <w:top w:val="nil"/>
              <w:left w:val="nil"/>
              <w:bottom w:val="single" w:sz="4" w:space="0" w:color="auto"/>
              <w:right w:val="single" w:sz="4" w:space="0" w:color="auto"/>
            </w:tcBorders>
            <w:noWrap/>
            <w:vAlign w:val="bottom"/>
            <w:hideMark/>
          </w:tcPr>
          <w:p w14:paraId="52E82AFC"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5</w:t>
            </w:r>
          </w:p>
        </w:tc>
        <w:tc>
          <w:tcPr>
            <w:tcW w:w="493" w:type="pct"/>
            <w:tcBorders>
              <w:top w:val="nil"/>
              <w:left w:val="nil"/>
              <w:bottom w:val="single" w:sz="4" w:space="0" w:color="auto"/>
              <w:right w:val="single" w:sz="4" w:space="0" w:color="auto"/>
            </w:tcBorders>
            <w:noWrap/>
            <w:vAlign w:val="bottom"/>
            <w:hideMark/>
          </w:tcPr>
          <w:p w14:paraId="2FC5EEBF"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1</w:t>
            </w:r>
          </w:p>
        </w:tc>
      </w:tr>
      <w:tr w:rsidR="00842A15" w:rsidRPr="00291BF0" w14:paraId="050D3823" w14:textId="77777777" w:rsidTr="26B34547">
        <w:trPr>
          <w:trHeight w:val="252"/>
        </w:trPr>
        <w:tc>
          <w:tcPr>
            <w:tcW w:w="988" w:type="pct"/>
            <w:tcBorders>
              <w:top w:val="nil"/>
              <w:left w:val="single" w:sz="4" w:space="0" w:color="auto"/>
              <w:bottom w:val="single" w:sz="4" w:space="0" w:color="auto"/>
              <w:right w:val="single" w:sz="4" w:space="0" w:color="auto"/>
            </w:tcBorders>
            <w:noWrap/>
            <w:vAlign w:val="bottom"/>
            <w:hideMark/>
          </w:tcPr>
          <w:p w14:paraId="565CD430"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 </w:t>
            </w:r>
          </w:p>
        </w:tc>
        <w:tc>
          <w:tcPr>
            <w:tcW w:w="844" w:type="pct"/>
            <w:tcBorders>
              <w:top w:val="nil"/>
              <w:left w:val="nil"/>
              <w:bottom w:val="single" w:sz="4" w:space="0" w:color="auto"/>
              <w:right w:val="single" w:sz="4" w:space="0" w:color="auto"/>
            </w:tcBorders>
            <w:noWrap/>
            <w:vAlign w:val="bottom"/>
            <w:hideMark/>
          </w:tcPr>
          <w:p w14:paraId="42452A1A"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 </w:t>
            </w:r>
          </w:p>
        </w:tc>
        <w:tc>
          <w:tcPr>
            <w:tcW w:w="1409" w:type="pct"/>
            <w:tcBorders>
              <w:top w:val="nil"/>
              <w:left w:val="nil"/>
              <w:bottom w:val="single" w:sz="4" w:space="0" w:color="auto"/>
              <w:right w:val="single" w:sz="4" w:space="0" w:color="auto"/>
            </w:tcBorders>
            <w:noWrap/>
            <w:vAlign w:val="bottom"/>
            <w:hideMark/>
          </w:tcPr>
          <w:p w14:paraId="726CFA2A"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Unauthorized Subscriptions</w:t>
            </w:r>
          </w:p>
        </w:tc>
        <w:tc>
          <w:tcPr>
            <w:tcW w:w="634" w:type="pct"/>
            <w:tcBorders>
              <w:top w:val="nil"/>
              <w:left w:val="nil"/>
              <w:bottom w:val="single" w:sz="4" w:space="0" w:color="auto"/>
              <w:right w:val="single" w:sz="4" w:space="0" w:color="auto"/>
            </w:tcBorders>
            <w:noWrap/>
            <w:vAlign w:val="bottom"/>
            <w:hideMark/>
          </w:tcPr>
          <w:p w14:paraId="59C60B7A"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1</w:t>
            </w:r>
          </w:p>
        </w:tc>
        <w:tc>
          <w:tcPr>
            <w:tcW w:w="633" w:type="pct"/>
            <w:tcBorders>
              <w:top w:val="nil"/>
              <w:left w:val="nil"/>
              <w:bottom w:val="single" w:sz="4" w:space="0" w:color="auto"/>
              <w:right w:val="single" w:sz="4" w:space="0" w:color="auto"/>
            </w:tcBorders>
            <w:noWrap/>
            <w:vAlign w:val="bottom"/>
            <w:hideMark/>
          </w:tcPr>
          <w:p w14:paraId="1DB328A8"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1</w:t>
            </w:r>
          </w:p>
        </w:tc>
        <w:tc>
          <w:tcPr>
            <w:tcW w:w="493" w:type="pct"/>
            <w:tcBorders>
              <w:top w:val="nil"/>
              <w:left w:val="nil"/>
              <w:bottom w:val="single" w:sz="4" w:space="0" w:color="auto"/>
              <w:right w:val="single" w:sz="4" w:space="0" w:color="auto"/>
            </w:tcBorders>
            <w:noWrap/>
            <w:vAlign w:val="bottom"/>
            <w:hideMark/>
          </w:tcPr>
          <w:p w14:paraId="7D2B66A1"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0</w:t>
            </w:r>
          </w:p>
        </w:tc>
      </w:tr>
      <w:tr w:rsidR="00842A15" w:rsidRPr="00291BF0" w14:paraId="73B97D63" w14:textId="77777777" w:rsidTr="26B34547">
        <w:trPr>
          <w:trHeight w:val="252"/>
        </w:trPr>
        <w:tc>
          <w:tcPr>
            <w:tcW w:w="988" w:type="pct"/>
            <w:tcBorders>
              <w:top w:val="nil"/>
              <w:left w:val="single" w:sz="4" w:space="0" w:color="auto"/>
              <w:bottom w:val="single" w:sz="4" w:space="0" w:color="auto"/>
              <w:right w:val="single" w:sz="4" w:space="0" w:color="auto"/>
            </w:tcBorders>
            <w:noWrap/>
            <w:vAlign w:val="bottom"/>
            <w:hideMark/>
          </w:tcPr>
          <w:p w14:paraId="672F3DC0"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 </w:t>
            </w:r>
          </w:p>
        </w:tc>
        <w:tc>
          <w:tcPr>
            <w:tcW w:w="844" w:type="pct"/>
            <w:tcBorders>
              <w:top w:val="nil"/>
              <w:left w:val="nil"/>
              <w:bottom w:val="single" w:sz="4" w:space="0" w:color="auto"/>
              <w:right w:val="single" w:sz="4" w:space="0" w:color="auto"/>
            </w:tcBorders>
            <w:noWrap/>
            <w:vAlign w:val="bottom"/>
            <w:hideMark/>
          </w:tcPr>
          <w:p w14:paraId="1A60E0F1"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 </w:t>
            </w:r>
          </w:p>
        </w:tc>
        <w:tc>
          <w:tcPr>
            <w:tcW w:w="1409" w:type="pct"/>
            <w:tcBorders>
              <w:top w:val="nil"/>
              <w:left w:val="nil"/>
              <w:bottom w:val="single" w:sz="4" w:space="0" w:color="auto"/>
              <w:right w:val="single" w:sz="4" w:space="0" w:color="auto"/>
            </w:tcBorders>
            <w:noWrap/>
            <w:vAlign w:val="bottom"/>
            <w:hideMark/>
          </w:tcPr>
          <w:p w14:paraId="11A25080" w14:textId="77777777" w:rsidR="00842A15" w:rsidRPr="00291BF0" w:rsidRDefault="00842A15" w:rsidP="62AA30B3">
            <w:pPr>
              <w:widowControl/>
              <w:autoSpaceDE/>
              <w:autoSpaceDN/>
              <w:spacing w:before="100" w:beforeAutospacing="1" w:after="100" w:afterAutospacing="1" w:line="276" w:lineRule="auto"/>
              <w:jc w:val="both"/>
              <w:rPr>
                <w:color w:val="000000"/>
                <w:sz w:val="20"/>
                <w:szCs w:val="20"/>
                <w:lang w:eastAsia="en-GB"/>
              </w:rPr>
            </w:pPr>
            <w:r w:rsidRPr="62AA30B3">
              <w:rPr>
                <w:color w:val="000000" w:themeColor="text1"/>
                <w:sz w:val="20"/>
                <w:szCs w:val="20"/>
                <w:lang w:eastAsia="en-GB"/>
              </w:rPr>
              <w:t>Termination of service or action or session</w:t>
            </w:r>
          </w:p>
        </w:tc>
        <w:tc>
          <w:tcPr>
            <w:tcW w:w="634" w:type="pct"/>
            <w:tcBorders>
              <w:top w:val="nil"/>
              <w:left w:val="nil"/>
              <w:bottom w:val="single" w:sz="4" w:space="0" w:color="auto"/>
              <w:right w:val="single" w:sz="4" w:space="0" w:color="auto"/>
            </w:tcBorders>
            <w:noWrap/>
            <w:vAlign w:val="bottom"/>
            <w:hideMark/>
          </w:tcPr>
          <w:p w14:paraId="1AF6F4E7"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20</w:t>
            </w:r>
          </w:p>
        </w:tc>
        <w:tc>
          <w:tcPr>
            <w:tcW w:w="633" w:type="pct"/>
            <w:tcBorders>
              <w:top w:val="nil"/>
              <w:left w:val="nil"/>
              <w:bottom w:val="single" w:sz="4" w:space="0" w:color="auto"/>
              <w:right w:val="single" w:sz="4" w:space="0" w:color="auto"/>
            </w:tcBorders>
            <w:noWrap/>
            <w:vAlign w:val="bottom"/>
            <w:hideMark/>
          </w:tcPr>
          <w:p w14:paraId="0F1DF074"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14</w:t>
            </w:r>
          </w:p>
        </w:tc>
        <w:tc>
          <w:tcPr>
            <w:tcW w:w="493" w:type="pct"/>
            <w:tcBorders>
              <w:top w:val="nil"/>
              <w:left w:val="nil"/>
              <w:bottom w:val="single" w:sz="4" w:space="0" w:color="auto"/>
              <w:right w:val="single" w:sz="4" w:space="0" w:color="auto"/>
            </w:tcBorders>
            <w:noWrap/>
            <w:vAlign w:val="bottom"/>
            <w:hideMark/>
          </w:tcPr>
          <w:p w14:paraId="0A9E3DE7"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5</w:t>
            </w:r>
          </w:p>
        </w:tc>
      </w:tr>
      <w:tr w:rsidR="00842A15" w:rsidRPr="00291BF0" w14:paraId="2EDF679E" w14:textId="77777777" w:rsidTr="26B34547">
        <w:trPr>
          <w:trHeight w:val="252"/>
        </w:trPr>
        <w:tc>
          <w:tcPr>
            <w:tcW w:w="988" w:type="pct"/>
            <w:tcBorders>
              <w:top w:val="nil"/>
              <w:left w:val="single" w:sz="4" w:space="0" w:color="auto"/>
              <w:bottom w:val="single" w:sz="4" w:space="0" w:color="auto"/>
              <w:right w:val="single" w:sz="4" w:space="0" w:color="auto"/>
            </w:tcBorders>
            <w:noWrap/>
            <w:vAlign w:val="bottom"/>
            <w:hideMark/>
          </w:tcPr>
          <w:p w14:paraId="2E0C4131"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 </w:t>
            </w:r>
          </w:p>
        </w:tc>
        <w:tc>
          <w:tcPr>
            <w:tcW w:w="844" w:type="pct"/>
            <w:tcBorders>
              <w:top w:val="nil"/>
              <w:left w:val="nil"/>
              <w:bottom w:val="single" w:sz="4" w:space="0" w:color="auto"/>
              <w:right w:val="single" w:sz="4" w:space="0" w:color="auto"/>
            </w:tcBorders>
            <w:noWrap/>
            <w:vAlign w:val="bottom"/>
            <w:hideMark/>
          </w:tcPr>
          <w:p w14:paraId="272DC2CE"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 </w:t>
            </w:r>
          </w:p>
        </w:tc>
        <w:tc>
          <w:tcPr>
            <w:tcW w:w="1409" w:type="pct"/>
            <w:tcBorders>
              <w:top w:val="nil"/>
              <w:left w:val="nil"/>
              <w:bottom w:val="single" w:sz="4" w:space="0" w:color="auto"/>
              <w:right w:val="single" w:sz="4" w:space="0" w:color="auto"/>
            </w:tcBorders>
            <w:noWrap/>
            <w:vAlign w:val="bottom"/>
            <w:hideMark/>
          </w:tcPr>
          <w:p w14:paraId="21970FB0"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Delay and Failure in service provision</w:t>
            </w:r>
          </w:p>
        </w:tc>
        <w:tc>
          <w:tcPr>
            <w:tcW w:w="634" w:type="pct"/>
            <w:tcBorders>
              <w:top w:val="nil"/>
              <w:left w:val="nil"/>
              <w:bottom w:val="single" w:sz="4" w:space="0" w:color="auto"/>
              <w:right w:val="single" w:sz="4" w:space="0" w:color="auto"/>
            </w:tcBorders>
            <w:noWrap/>
            <w:vAlign w:val="bottom"/>
            <w:hideMark/>
          </w:tcPr>
          <w:p w14:paraId="3B4184EA"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35</w:t>
            </w:r>
          </w:p>
        </w:tc>
        <w:tc>
          <w:tcPr>
            <w:tcW w:w="633" w:type="pct"/>
            <w:tcBorders>
              <w:top w:val="nil"/>
              <w:left w:val="nil"/>
              <w:bottom w:val="single" w:sz="4" w:space="0" w:color="auto"/>
              <w:right w:val="single" w:sz="4" w:space="0" w:color="auto"/>
            </w:tcBorders>
            <w:noWrap/>
            <w:vAlign w:val="bottom"/>
            <w:hideMark/>
          </w:tcPr>
          <w:p w14:paraId="5B94E4C4"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21</w:t>
            </w:r>
          </w:p>
        </w:tc>
        <w:tc>
          <w:tcPr>
            <w:tcW w:w="493" w:type="pct"/>
            <w:tcBorders>
              <w:top w:val="nil"/>
              <w:left w:val="nil"/>
              <w:bottom w:val="single" w:sz="4" w:space="0" w:color="auto"/>
              <w:right w:val="single" w:sz="4" w:space="0" w:color="auto"/>
            </w:tcBorders>
            <w:noWrap/>
            <w:vAlign w:val="bottom"/>
            <w:hideMark/>
          </w:tcPr>
          <w:p w14:paraId="7A191249"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2</w:t>
            </w:r>
          </w:p>
        </w:tc>
      </w:tr>
      <w:tr w:rsidR="00842A15" w:rsidRPr="00291BF0" w14:paraId="65536664" w14:textId="77777777" w:rsidTr="26B34547">
        <w:trPr>
          <w:trHeight w:val="252"/>
        </w:trPr>
        <w:tc>
          <w:tcPr>
            <w:tcW w:w="988" w:type="pct"/>
            <w:tcBorders>
              <w:top w:val="nil"/>
              <w:left w:val="single" w:sz="4" w:space="0" w:color="auto"/>
              <w:bottom w:val="single" w:sz="4" w:space="0" w:color="auto"/>
              <w:right w:val="single" w:sz="4" w:space="0" w:color="auto"/>
            </w:tcBorders>
            <w:noWrap/>
            <w:vAlign w:val="bottom"/>
            <w:hideMark/>
          </w:tcPr>
          <w:p w14:paraId="4B96DDDB"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 </w:t>
            </w:r>
          </w:p>
        </w:tc>
        <w:tc>
          <w:tcPr>
            <w:tcW w:w="844" w:type="pct"/>
            <w:tcBorders>
              <w:top w:val="nil"/>
              <w:left w:val="nil"/>
              <w:bottom w:val="single" w:sz="4" w:space="0" w:color="auto"/>
              <w:right w:val="single" w:sz="4" w:space="0" w:color="auto"/>
            </w:tcBorders>
            <w:noWrap/>
            <w:vAlign w:val="bottom"/>
            <w:hideMark/>
          </w:tcPr>
          <w:p w14:paraId="75CA0301"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 </w:t>
            </w:r>
          </w:p>
        </w:tc>
        <w:tc>
          <w:tcPr>
            <w:tcW w:w="1409" w:type="pct"/>
            <w:tcBorders>
              <w:top w:val="nil"/>
              <w:left w:val="nil"/>
              <w:bottom w:val="single" w:sz="4" w:space="0" w:color="auto"/>
              <w:right w:val="single" w:sz="4" w:space="0" w:color="auto"/>
            </w:tcBorders>
            <w:noWrap/>
            <w:vAlign w:val="bottom"/>
            <w:hideMark/>
          </w:tcPr>
          <w:p w14:paraId="61E24582"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Network unavailability &amp; Inaccessibility</w:t>
            </w:r>
          </w:p>
        </w:tc>
        <w:tc>
          <w:tcPr>
            <w:tcW w:w="634" w:type="pct"/>
            <w:tcBorders>
              <w:top w:val="nil"/>
              <w:left w:val="nil"/>
              <w:bottom w:val="single" w:sz="4" w:space="0" w:color="auto"/>
              <w:right w:val="single" w:sz="4" w:space="0" w:color="auto"/>
            </w:tcBorders>
            <w:noWrap/>
            <w:vAlign w:val="bottom"/>
            <w:hideMark/>
          </w:tcPr>
          <w:p w14:paraId="409167B7"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7</w:t>
            </w:r>
          </w:p>
        </w:tc>
        <w:tc>
          <w:tcPr>
            <w:tcW w:w="633" w:type="pct"/>
            <w:tcBorders>
              <w:top w:val="nil"/>
              <w:left w:val="nil"/>
              <w:bottom w:val="single" w:sz="4" w:space="0" w:color="auto"/>
              <w:right w:val="single" w:sz="4" w:space="0" w:color="auto"/>
            </w:tcBorders>
            <w:noWrap/>
            <w:vAlign w:val="bottom"/>
            <w:hideMark/>
          </w:tcPr>
          <w:p w14:paraId="2544A901"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3</w:t>
            </w:r>
          </w:p>
        </w:tc>
        <w:tc>
          <w:tcPr>
            <w:tcW w:w="493" w:type="pct"/>
            <w:tcBorders>
              <w:top w:val="nil"/>
              <w:left w:val="nil"/>
              <w:bottom w:val="single" w:sz="4" w:space="0" w:color="auto"/>
              <w:right w:val="single" w:sz="4" w:space="0" w:color="auto"/>
            </w:tcBorders>
            <w:noWrap/>
            <w:vAlign w:val="bottom"/>
            <w:hideMark/>
          </w:tcPr>
          <w:p w14:paraId="561456D1"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3</w:t>
            </w:r>
          </w:p>
        </w:tc>
      </w:tr>
      <w:tr w:rsidR="00842A15" w:rsidRPr="00291BF0" w14:paraId="7BA9F0F1" w14:textId="77777777" w:rsidTr="26B34547">
        <w:trPr>
          <w:trHeight w:val="252"/>
        </w:trPr>
        <w:tc>
          <w:tcPr>
            <w:tcW w:w="988" w:type="pct"/>
            <w:tcBorders>
              <w:top w:val="nil"/>
              <w:left w:val="single" w:sz="4" w:space="0" w:color="auto"/>
              <w:bottom w:val="single" w:sz="4" w:space="0" w:color="auto"/>
              <w:right w:val="single" w:sz="4" w:space="0" w:color="auto"/>
            </w:tcBorders>
            <w:noWrap/>
            <w:vAlign w:val="bottom"/>
            <w:hideMark/>
          </w:tcPr>
          <w:p w14:paraId="4B8BFBB2"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Broadcast</w:t>
            </w:r>
          </w:p>
        </w:tc>
        <w:tc>
          <w:tcPr>
            <w:tcW w:w="844" w:type="pct"/>
            <w:tcBorders>
              <w:top w:val="nil"/>
              <w:left w:val="nil"/>
              <w:bottom w:val="single" w:sz="4" w:space="0" w:color="auto"/>
              <w:right w:val="single" w:sz="4" w:space="0" w:color="auto"/>
            </w:tcBorders>
            <w:noWrap/>
            <w:vAlign w:val="bottom"/>
            <w:hideMark/>
          </w:tcPr>
          <w:p w14:paraId="5443AEAF"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 </w:t>
            </w:r>
          </w:p>
        </w:tc>
        <w:tc>
          <w:tcPr>
            <w:tcW w:w="1409" w:type="pct"/>
            <w:tcBorders>
              <w:top w:val="nil"/>
              <w:left w:val="nil"/>
              <w:bottom w:val="single" w:sz="4" w:space="0" w:color="auto"/>
              <w:right w:val="single" w:sz="4" w:space="0" w:color="auto"/>
            </w:tcBorders>
            <w:noWrap/>
            <w:vAlign w:val="bottom"/>
            <w:hideMark/>
          </w:tcPr>
          <w:p w14:paraId="4391534E"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 </w:t>
            </w:r>
          </w:p>
        </w:tc>
        <w:tc>
          <w:tcPr>
            <w:tcW w:w="634" w:type="pct"/>
            <w:tcBorders>
              <w:top w:val="single" w:sz="4" w:space="0" w:color="auto"/>
              <w:left w:val="nil"/>
              <w:bottom w:val="single" w:sz="4" w:space="0" w:color="auto"/>
              <w:right w:val="single" w:sz="4" w:space="0" w:color="auto"/>
            </w:tcBorders>
            <w:noWrap/>
            <w:vAlign w:val="bottom"/>
            <w:hideMark/>
          </w:tcPr>
          <w:p w14:paraId="3935A81C" w14:textId="77777777" w:rsidR="00842A15" w:rsidRPr="00291BF0" w:rsidRDefault="00842A15" w:rsidP="00240F9B">
            <w:pPr>
              <w:widowControl/>
              <w:autoSpaceDE/>
              <w:autoSpaceDN/>
              <w:spacing w:before="100" w:beforeAutospacing="1" w:after="100" w:afterAutospacing="1" w:line="276" w:lineRule="auto"/>
              <w:jc w:val="both"/>
              <w:rPr>
                <w:b/>
                <w:bCs/>
                <w:color w:val="000000"/>
                <w:sz w:val="20"/>
                <w:szCs w:val="20"/>
                <w:lang w:eastAsia="en-GB"/>
              </w:rPr>
            </w:pPr>
            <w:r w:rsidRPr="00291BF0">
              <w:rPr>
                <w:b/>
                <w:bCs/>
                <w:color w:val="000000"/>
                <w:sz w:val="20"/>
                <w:szCs w:val="20"/>
                <w:lang w:eastAsia="en-GB"/>
              </w:rPr>
              <w:t>42</w:t>
            </w:r>
          </w:p>
        </w:tc>
        <w:tc>
          <w:tcPr>
            <w:tcW w:w="633" w:type="pct"/>
            <w:tcBorders>
              <w:top w:val="single" w:sz="4" w:space="0" w:color="auto"/>
              <w:left w:val="nil"/>
              <w:bottom w:val="single" w:sz="4" w:space="0" w:color="auto"/>
              <w:right w:val="single" w:sz="4" w:space="0" w:color="auto"/>
            </w:tcBorders>
            <w:noWrap/>
            <w:vAlign w:val="bottom"/>
            <w:hideMark/>
          </w:tcPr>
          <w:p w14:paraId="5A7F0CAB" w14:textId="77777777" w:rsidR="00842A15" w:rsidRPr="00291BF0" w:rsidRDefault="00842A15" w:rsidP="00240F9B">
            <w:pPr>
              <w:widowControl/>
              <w:autoSpaceDE/>
              <w:autoSpaceDN/>
              <w:spacing w:before="100" w:beforeAutospacing="1" w:after="100" w:afterAutospacing="1" w:line="276" w:lineRule="auto"/>
              <w:jc w:val="both"/>
              <w:rPr>
                <w:b/>
                <w:bCs/>
                <w:color w:val="000000"/>
                <w:sz w:val="20"/>
                <w:szCs w:val="20"/>
                <w:lang w:eastAsia="en-GB"/>
              </w:rPr>
            </w:pPr>
            <w:r w:rsidRPr="00291BF0">
              <w:rPr>
                <w:b/>
                <w:bCs/>
                <w:color w:val="000000"/>
                <w:sz w:val="20"/>
                <w:szCs w:val="20"/>
                <w:lang w:eastAsia="en-GB"/>
              </w:rPr>
              <w:t>26</w:t>
            </w:r>
          </w:p>
        </w:tc>
        <w:tc>
          <w:tcPr>
            <w:tcW w:w="493" w:type="pct"/>
            <w:tcBorders>
              <w:top w:val="nil"/>
              <w:left w:val="nil"/>
              <w:bottom w:val="single" w:sz="4" w:space="0" w:color="auto"/>
              <w:right w:val="single" w:sz="4" w:space="0" w:color="auto"/>
            </w:tcBorders>
            <w:noWrap/>
            <w:vAlign w:val="bottom"/>
            <w:hideMark/>
          </w:tcPr>
          <w:p w14:paraId="5715D56F" w14:textId="77777777" w:rsidR="00842A15" w:rsidRPr="00291BF0" w:rsidRDefault="00842A15" w:rsidP="00240F9B">
            <w:pPr>
              <w:widowControl/>
              <w:autoSpaceDE/>
              <w:autoSpaceDN/>
              <w:spacing w:before="100" w:beforeAutospacing="1" w:after="100" w:afterAutospacing="1" w:line="276" w:lineRule="auto"/>
              <w:jc w:val="both"/>
              <w:rPr>
                <w:b/>
                <w:bCs/>
                <w:color w:val="000000"/>
                <w:sz w:val="20"/>
                <w:szCs w:val="20"/>
                <w:lang w:eastAsia="en-GB"/>
              </w:rPr>
            </w:pPr>
            <w:r w:rsidRPr="00291BF0">
              <w:rPr>
                <w:b/>
                <w:bCs/>
                <w:color w:val="000000"/>
                <w:sz w:val="20"/>
                <w:szCs w:val="20"/>
                <w:lang w:eastAsia="en-GB"/>
              </w:rPr>
              <w:t>16</w:t>
            </w:r>
          </w:p>
        </w:tc>
      </w:tr>
      <w:tr w:rsidR="00842A15" w:rsidRPr="00291BF0" w14:paraId="21499B8D" w14:textId="77777777" w:rsidTr="26B34547">
        <w:trPr>
          <w:trHeight w:val="252"/>
        </w:trPr>
        <w:tc>
          <w:tcPr>
            <w:tcW w:w="988" w:type="pct"/>
            <w:tcBorders>
              <w:top w:val="nil"/>
              <w:left w:val="single" w:sz="4" w:space="0" w:color="auto"/>
              <w:bottom w:val="single" w:sz="4" w:space="0" w:color="auto"/>
              <w:right w:val="single" w:sz="4" w:space="0" w:color="auto"/>
            </w:tcBorders>
            <w:noWrap/>
            <w:vAlign w:val="bottom"/>
            <w:hideMark/>
          </w:tcPr>
          <w:p w14:paraId="418D43CA"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 </w:t>
            </w:r>
          </w:p>
        </w:tc>
        <w:tc>
          <w:tcPr>
            <w:tcW w:w="844" w:type="pct"/>
            <w:tcBorders>
              <w:top w:val="nil"/>
              <w:left w:val="nil"/>
              <w:bottom w:val="single" w:sz="4" w:space="0" w:color="auto"/>
              <w:right w:val="single" w:sz="4" w:space="0" w:color="auto"/>
            </w:tcBorders>
            <w:noWrap/>
            <w:vAlign w:val="bottom"/>
            <w:hideMark/>
          </w:tcPr>
          <w:p w14:paraId="636E67FC"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Content and Programming standards</w:t>
            </w:r>
          </w:p>
        </w:tc>
        <w:tc>
          <w:tcPr>
            <w:tcW w:w="1409" w:type="pct"/>
            <w:tcBorders>
              <w:top w:val="nil"/>
              <w:left w:val="nil"/>
              <w:bottom w:val="single" w:sz="4" w:space="0" w:color="auto"/>
              <w:right w:val="single" w:sz="4" w:space="0" w:color="auto"/>
            </w:tcBorders>
            <w:noWrap/>
            <w:vAlign w:val="bottom"/>
            <w:hideMark/>
          </w:tcPr>
          <w:p w14:paraId="1D9812F4"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 </w:t>
            </w:r>
          </w:p>
        </w:tc>
        <w:tc>
          <w:tcPr>
            <w:tcW w:w="634" w:type="pct"/>
            <w:tcBorders>
              <w:top w:val="nil"/>
              <w:left w:val="nil"/>
              <w:bottom w:val="single" w:sz="4" w:space="0" w:color="auto"/>
              <w:right w:val="single" w:sz="4" w:space="0" w:color="auto"/>
            </w:tcBorders>
            <w:noWrap/>
            <w:vAlign w:val="bottom"/>
            <w:hideMark/>
          </w:tcPr>
          <w:p w14:paraId="6E1BDD66"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18</w:t>
            </w:r>
          </w:p>
        </w:tc>
        <w:tc>
          <w:tcPr>
            <w:tcW w:w="633" w:type="pct"/>
            <w:tcBorders>
              <w:top w:val="nil"/>
              <w:left w:val="nil"/>
              <w:bottom w:val="single" w:sz="4" w:space="0" w:color="auto"/>
              <w:right w:val="single" w:sz="4" w:space="0" w:color="auto"/>
            </w:tcBorders>
            <w:noWrap/>
            <w:vAlign w:val="bottom"/>
            <w:hideMark/>
          </w:tcPr>
          <w:p w14:paraId="3E098C30"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15</w:t>
            </w:r>
          </w:p>
        </w:tc>
        <w:tc>
          <w:tcPr>
            <w:tcW w:w="493" w:type="pct"/>
            <w:tcBorders>
              <w:top w:val="nil"/>
              <w:left w:val="nil"/>
              <w:bottom w:val="single" w:sz="4" w:space="0" w:color="auto"/>
              <w:right w:val="single" w:sz="4" w:space="0" w:color="auto"/>
            </w:tcBorders>
            <w:noWrap/>
            <w:vAlign w:val="bottom"/>
            <w:hideMark/>
          </w:tcPr>
          <w:p w14:paraId="0F53EA21"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3</w:t>
            </w:r>
          </w:p>
        </w:tc>
      </w:tr>
      <w:tr w:rsidR="00842A15" w:rsidRPr="00291BF0" w14:paraId="7B6C3C64" w14:textId="77777777" w:rsidTr="26B34547">
        <w:trPr>
          <w:trHeight w:val="252"/>
        </w:trPr>
        <w:tc>
          <w:tcPr>
            <w:tcW w:w="988" w:type="pct"/>
            <w:tcBorders>
              <w:top w:val="nil"/>
              <w:left w:val="single" w:sz="4" w:space="0" w:color="auto"/>
              <w:bottom w:val="single" w:sz="4" w:space="0" w:color="auto"/>
              <w:right w:val="single" w:sz="4" w:space="0" w:color="auto"/>
            </w:tcBorders>
            <w:noWrap/>
            <w:vAlign w:val="bottom"/>
            <w:hideMark/>
          </w:tcPr>
          <w:p w14:paraId="1FE14678"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 </w:t>
            </w:r>
          </w:p>
        </w:tc>
        <w:tc>
          <w:tcPr>
            <w:tcW w:w="844" w:type="pct"/>
            <w:tcBorders>
              <w:top w:val="nil"/>
              <w:left w:val="nil"/>
              <w:bottom w:val="single" w:sz="4" w:space="0" w:color="auto"/>
              <w:right w:val="single" w:sz="4" w:space="0" w:color="auto"/>
            </w:tcBorders>
            <w:noWrap/>
            <w:vAlign w:val="bottom"/>
            <w:hideMark/>
          </w:tcPr>
          <w:p w14:paraId="20591FB2"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 xml:space="preserve">Interruption/Sabotage </w:t>
            </w:r>
          </w:p>
        </w:tc>
        <w:tc>
          <w:tcPr>
            <w:tcW w:w="1409" w:type="pct"/>
            <w:tcBorders>
              <w:top w:val="nil"/>
              <w:left w:val="nil"/>
              <w:bottom w:val="single" w:sz="4" w:space="0" w:color="auto"/>
              <w:right w:val="single" w:sz="4" w:space="0" w:color="auto"/>
            </w:tcBorders>
            <w:noWrap/>
            <w:vAlign w:val="bottom"/>
            <w:hideMark/>
          </w:tcPr>
          <w:p w14:paraId="1621A8B0"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 </w:t>
            </w:r>
          </w:p>
        </w:tc>
        <w:tc>
          <w:tcPr>
            <w:tcW w:w="634" w:type="pct"/>
            <w:tcBorders>
              <w:top w:val="nil"/>
              <w:left w:val="nil"/>
              <w:bottom w:val="single" w:sz="4" w:space="0" w:color="auto"/>
              <w:right w:val="single" w:sz="4" w:space="0" w:color="auto"/>
            </w:tcBorders>
            <w:noWrap/>
            <w:vAlign w:val="bottom"/>
            <w:hideMark/>
          </w:tcPr>
          <w:p w14:paraId="2451242F"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4</w:t>
            </w:r>
          </w:p>
        </w:tc>
        <w:tc>
          <w:tcPr>
            <w:tcW w:w="633" w:type="pct"/>
            <w:tcBorders>
              <w:top w:val="nil"/>
              <w:left w:val="nil"/>
              <w:bottom w:val="single" w:sz="4" w:space="0" w:color="auto"/>
              <w:right w:val="single" w:sz="4" w:space="0" w:color="auto"/>
            </w:tcBorders>
            <w:noWrap/>
            <w:vAlign w:val="bottom"/>
            <w:hideMark/>
          </w:tcPr>
          <w:p w14:paraId="57E5D40C"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1</w:t>
            </w:r>
          </w:p>
        </w:tc>
        <w:tc>
          <w:tcPr>
            <w:tcW w:w="493" w:type="pct"/>
            <w:tcBorders>
              <w:top w:val="nil"/>
              <w:left w:val="nil"/>
              <w:bottom w:val="single" w:sz="4" w:space="0" w:color="auto"/>
              <w:right w:val="single" w:sz="4" w:space="0" w:color="auto"/>
            </w:tcBorders>
            <w:noWrap/>
            <w:vAlign w:val="bottom"/>
            <w:hideMark/>
          </w:tcPr>
          <w:p w14:paraId="2704BA4F"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3</w:t>
            </w:r>
          </w:p>
        </w:tc>
      </w:tr>
      <w:tr w:rsidR="00842A15" w:rsidRPr="00291BF0" w14:paraId="2AD90348" w14:textId="77777777" w:rsidTr="26B34547">
        <w:trPr>
          <w:trHeight w:val="252"/>
        </w:trPr>
        <w:tc>
          <w:tcPr>
            <w:tcW w:w="988" w:type="pct"/>
            <w:tcBorders>
              <w:top w:val="nil"/>
              <w:left w:val="single" w:sz="4" w:space="0" w:color="auto"/>
              <w:bottom w:val="single" w:sz="4" w:space="0" w:color="auto"/>
              <w:right w:val="single" w:sz="4" w:space="0" w:color="auto"/>
            </w:tcBorders>
            <w:noWrap/>
            <w:vAlign w:val="bottom"/>
            <w:hideMark/>
          </w:tcPr>
          <w:p w14:paraId="0255C46A"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 </w:t>
            </w:r>
          </w:p>
        </w:tc>
        <w:tc>
          <w:tcPr>
            <w:tcW w:w="844" w:type="pct"/>
            <w:tcBorders>
              <w:top w:val="nil"/>
              <w:left w:val="nil"/>
              <w:bottom w:val="single" w:sz="4" w:space="0" w:color="auto"/>
              <w:right w:val="single" w:sz="4" w:space="0" w:color="auto"/>
            </w:tcBorders>
            <w:noWrap/>
            <w:vAlign w:val="bottom"/>
            <w:hideMark/>
          </w:tcPr>
          <w:p w14:paraId="2F5CC231"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Billing</w:t>
            </w:r>
          </w:p>
        </w:tc>
        <w:tc>
          <w:tcPr>
            <w:tcW w:w="1409" w:type="pct"/>
            <w:tcBorders>
              <w:top w:val="nil"/>
              <w:left w:val="nil"/>
              <w:bottom w:val="single" w:sz="4" w:space="0" w:color="auto"/>
              <w:right w:val="single" w:sz="4" w:space="0" w:color="auto"/>
            </w:tcBorders>
            <w:noWrap/>
            <w:vAlign w:val="bottom"/>
            <w:hideMark/>
          </w:tcPr>
          <w:p w14:paraId="1492A7AD"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 </w:t>
            </w:r>
          </w:p>
        </w:tc>
        <w:tc>
          <w:tcPr>
            <w:tcW w:w="634" w:type="pct"/>
            <w:tcBorders>
              <w:top w:val="nil"/>
              <w:left w:val="nil"/>
              <w:bottom w:val="single" w:sz="4" w:space="0" w:color="auto"/>
              <w:right w:val="single" w:sz="4" w:space="0" w:color="auto"/>
            </w:tcBorders>
            <w:noWrap/>
            <w:vAlign w:val="bottom"/>
            <w:hideMark/>
          </w:tcPr>
          <w:p w14:paraId="5937421B"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5</w:t>
            </w:r>
          </w:p>
        </w:tc>
        <w:tc>
          <w:tcPr>
            <w:tcW w:w="633" w:type="pct"/>
            <w:tcBorders>
              <w:top w:val="nil"/>
              <w:left w:val="nil"/>
              <w:bottom w:val="single" w:sz="4" w:space="0" w:color="auto"/>
              <w:right w:val="single" w:sz="4" w:space="0" w:color="auto"/>
            </w:tcBorders>
            <w:noWrap/>
            <w:vAlign w:val="bottom"/>
            <w:hideMark/>
          </w:tcPr>
          <w:p w14:paraId="37EFF0BB"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4</w:t>
            </w:r>
          </w:p>
        </w:tc>
        <w:tc>
          <w:tcPr>
            <w:tcW w:w="493" w:type="pct"/>
            <w:tcBorders>
              <w:top w:val="nil"/>
              <w:left w:val="nil"/>
              <w:bottom w:val="single" w:sz="4" w:space="0" w:color="auto"/>
              <w:right w:val="single" w:sz="4" w:space="0" w:color="auto"/>
            </w:tcBorders>
            <w:noWrap/>
            <w:vAlign w:val="bottom"/>
            <w:hideMark/>
          </w:tcPr>
          <w:p w14:paraId="0AF3177E"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1</w:t>
            </w:r>
          </w:p>
        </w:tc>
      </w:tr>
      <w:tr w:rsidR="00842A15" w:rsidRPr="00291BF0" w14:paraId="17B39F04" w14:textId="77777777" w:rsidTr="26B34547">
        <w:trPr>
          <w:trHeight w:val="252"/>
        </w:trPr>
        <w:tc>
          <w:tcPr>
            <w:tcW w:w="988" w:type="pct"/>
            <w:tcBorders>
              <w:top w:val="nil"/>
              <w:left w:val="single" w:sz="4" w:space="0" w:color="auto"/>
              <w:bottom w:val="single" w:sz="4" w:space="0" w:color="auto"/>
              <w:right w:val="single" w:sz="4" w:space="0" w:color="auto"/>
            </w:tcBorders>
            <w:noWrap/>
            <w:vAlign w:val="bottom"/>
            <w:hideMark/>
          </w:tcPr>
          <w:p w14:paraId="625FB812"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 </w:t>
            </w:r>
          </w:p>
        </w:tc>
        <w:tc>
          <w:tcPr>
            <w:tcW w:w="844" w:type="pct"/>
            <w:tcBorders>
              <w:top w:val="nil"/>
              <w:left w:val="nil"/>
              <w:bottom w:val="single" w:sz="4" w:space="0" w:color="auto"/>
              <w:right w:val="single" w:sz="4" w:space="0" w:color="auto"/>
            </w:tcBorders>
            <w:noWrap/>
            <w:vAlign w:val="bottom"/>
            <w:hideMark/>
          </w:tcPr>
          <w:p w14:paraId="0D257F5B"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Frequency Interference</w:t>
            </w:r>
          </w:p>
        </w:tc>
        <w:tc>
          <w:tcPr>
            <w:tcW w:w="1409" w:type="pct"/>
            <w:tcBorders>
              <w:top w:val="nil"/>
              <w:left w:val="nil"/>
              <w:bottom w:val="single" w:sz="4" w:space="0" w:color="auto"/>
              <w:right w:val="single" w:sz="4" w:space="0" w:color="auto"/>
            </w:tcBorders>
            <w:noWrap/>
            <w:vAlign w:val="bottom"/>
            <w:hideMark/>
          </w:tcPr>
          <w:p w14:paraId="7293805A"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 </w:t>
            </w:r>
          </w:p>
        </w:tc>
        <w:tc>
          <w:tcPr>
            <w:tcW w:w="634" w:type="pct"/>
            <w:tcBorders>
              <w:top w:val="nil"/>
              <w:left w:val="nil"/>
              <w:bottom w:val="single" w:sz="4" w:space="0" w:color="auto"/>
              <w:right w:val="single" w:sz="4" w:space="0" w:color="auto"/>
            </w:tcBorders>
            <w:noWrap/>
            <w:vAlign w:val="bottom"/>
            <w:hideMark/>
          </w:tcPr>
          <w:p w14:paraId="1FAFE2AD"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6</w:t>
            </w:r>
          </w:p>
        </w:tc>
        <w:tc>
          <w:tcPr>
            <w:tcW w:w="633" w:type="pct"/>
            <w:tcBorders>
              <w:top w:val="nil"/>
              <w:left w:val="nil"/>
              <w:bottom w:val="single" w:sz="4" w:space="0" w:color="auto"/>
              <w:right w:val="single" w:sz="4" w:space="0" w:color="auto"/>
            </w:tcBorders>
            <w:noWrap/>
            <w:vAlign w:val="bottom"/>
            <w:hideMark/>
          </w:tcPr>
          <w:p w14:paraId="3997C291"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1</w:t>
            </w:r>
          </w:p>
        </w:tc>
        <w:tc>
          <w:tcPr>
            <w:tcW w:w="493" w:type="pct"/>
            <w:tcBorders>
              <w:top w:val="nil"/>
              <w:left w:val="nil"/>
              <w:bottom w:val="single" w:sz="4" w:space="0" w:color="auto"/>
              <w:right w:val="single" w:sz="4" w:space="0" w:color="auto"/>
            </w:tcBorders>
            <w:noWrap/>
            <w:vAlign w:val="bottom"/>
            <w:hideMark/>
          </w:tcPr>
          <w:p w14:paraId="0E10059A"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5</w:t>
            </w:r>
          </w:p>
        </w:tc>
      </w:tr>
      <w:tr w:rsidR="00842A15" w:rsidRPr="00291BF0" w14:paraId="755EDD63" w14:textId="77777777" w:rsidTr="26B34547">
        <w:trPr>
          <w:trHeight w:val="252"/>
        </w:trPr>
        <w:tc>
          <w:tcPr>
            <w:tcW w:w="988" w:type="pct"/>
            <w:tcBorders>
              <w:top w:val="nil"/>
              <w:left w:val="single" w:sz="4" w:space="0" w:color="auto"/>
              <w:bottom w:val="single" w:sz="4" w:space="0" w:color="auto"/>
              <w:right w:val="single" w:sz="4" w:space="0" w:color="auto"/>
            </w:tcBorders>
            <w:noWrap/>
            <w:vAlign w:val="bottom"/>
            <w:hideMark/>
          </w:tcPr>
          <w:p w14:paraId="60E82D86"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 </w:t>
            </w:r>
          </w:p>
        </w:tc>
        <w:tc>
          <w:tcPr>
            <w:tcW w:w="844" w:type="pct"/>
            <w:tcBorders>
              <w:top w:val="nil"/>
              <w:left w:val="nil"/>
              <w:bottom w:val="single" w:sz="4" w:space="0" w:color="auto"/>
              <w:right w:val="single" w:sz="4" w:space="0" w:color="auto"/>
            </w:tcBorders>
            <w:noWrap/>
            <w:vAlign w:val="bottom"/>
            <w:hideMark/>
          </w:tcPr>
          <w:p w14:paraId="46275C0D"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Poor/No Signals/site unavailability/integrity</w:t>
            </w:r>
          </w:p>
        </w:tc>
        <w:tc>
          <w:tcPr>
            <w:tcW w:w="1409" w:type="pct"/>
            <w:tcBorders>
              <w:top w:val="nil"/>
              <w:left w:val="nil"/>
              <w:bottom w:val="single" w:sz="4" w:space="0" w:color="auto"/>
              <w:right w:val="single" w:sz="4" w:space="0" w:color="auto"/>
            </w:tcBorders>
            <w:noWrap/>
            <w:vAlign w:val="bottom"/>
            <w:hideMark/>
          </w:tcPr>
          <w:p w14:paraId="6F03278D"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 </w:t>
            </w:r>
          </w:p>
        </w:tc>
        <w:tc>
          <w:tcPr>
            <w:tcW w:w="634" w:type="pct"/>
            <w:tcBorders>
              <w:top w:val="nil"/>
              <w:left w:val="nil"/>
              <w:bottom w:val="single" w:sz="4" w:space="0" w:color="auto"/>
              <w:right w:val="single" w:sz="4" w:space="0" w:color="auto"/>
            </w:tcBorders>
            <w:noWrap/>
            <w:vAlign w:val="bottom"/>
            <w:hideMark/>
          </w:tcPr>
          <w:p w14:paraId="67113B57"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0</w:t>
            </w:r>
          </w:p>
        </w:tc>
        <w:tc>
          <w:tcPr>
            <w:tcW w:w="633" w:type="pct"/>
            <w:tcBorders>
              <w:top w:val="nil"/>
              <w:left w:val="nil"/>
              <w:bottom w:val="single" w:sz="4" w:space="0" w:color="auto"/>
              <w:right w:val="single" w:sz="4" w:space="0" w:color="auto"/>
            </w:tcBorders>
            <w:noWrap/>
            <w:vAlign w:val="bottom"/>
            <w:hideMark/>
          </w:tcPr>
          <w:p w14:paraId="1B1E60D5"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0</w:t>
            </w:r>
          </w:p>
        </w:tc>
        <w:tc>
          <w:tcPr>
            <w:tcW w:w="493" w:type="pct"/>
            <w:tcBorders>
              <w:top w:val="nil"/>
              <w:left w:val="nil"/>
              <w:bottom w:val="single" w:sz="4" w:space="0" w:color="auto"/>
              <w:right w:val="single" w:sz="4" w:space="0" w:color="auto"/>
            </w:tcBorders>
            <w:noWrap/>
            <w:vAlign w:val="bottom"/>
            <w:hideMark/>
          </w:tcPr>
          <w:p w14:paraId="77759841"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0</w:t>
            </w:r>
          </w:p>
        </w:tc>
      </w:tr>
      <w:tr w:rsidR="00842A15" w:rsidRPr="00291BF0" w14:paraId="45E10E92" w14:textId="77777777" w:rsidTr="26B34547">
        <w:trPr>
          <w:trHeight w:val="252"/>
        </w:trPr>
        <w:tc>
          <w:tcPr>
            <w:tcW w:w="988" w:type="pct"/>
            <w:tcBorders>
              <w:top w:val="nil"/>
              <w:left w:val="single" w:sz="4" w:space="0" w:color="auto"/>
              <w:bottom w:val="single" w:sz="4" w:space="0" w:color="auto"/>
              <w:right w:val="single" w:sz="4" w:space="0" w:color="auto"/>
            </w:tcBorders>
            <w:noWrap/>
            <w:vAlign w:val="bottom"/>
            <w:hideMark/>
          </w:tcPr>
          <w:p w14:paraId="53600ED5"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 </w:t>
            </w:r>
          </w:p>
        </w:tc>
        <w:tc>
          <w:tcPr>
            <w:tcW w:w="844" w:type="pct"/>
            <w:tcBorders>
              <w:top w:val="nil"/>
              <w:left w:val="nil"/>
              <w:bottom w:val="single" w:sz="4" w:space="0" w:color="auto"/>
              <w:right w:val="single" w:sz="4" w:space="0" w:color="auto"/>
            </w:tcBorders>
            <w:noWrap/>
            <w:vAlign w:val="center"/>
            <w:hideMark/>
          </w:tcPr>
          <w:p w14:paraId="2725E290"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Protection of Children</w:t>
            </w:r>
          </w:p>
        </w:tc>
        <w:tc>
          <w:tcPr>
            <w:tcW w:w="1409" w:type="pct"/>
            <w:tcBorders>
              <w:top w:val="nil"/>
              <w:left w:val="nil"/>
              <w:bottom w:val="single" w:sz="4" w:space="0" w:color="auto"/>
              <w:right w:val="single" w:sz="4" w:space="0" w:color="auto"/>
            </w:tcBorders>
            <w:noWrap/>
            <w:vAlign w:val="bottom"/>
            <w:hideMark/>
          </w:tcPr>
          <w:p w14:paraId="73717857"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 </w:t>
            </w:r>
          </w:p>
        </w:tc>
        <w:tc>
          <w:tcPr>
            <w:tcW w:w="634" w:type="pct"/>
            <w:tcBorders>
              <w:top w:val="nil"/>
              <w:left w:val="nil"/>
              <w:bottom w:val="single" w:sz="4" w:space="0" w:color="auto"/>
              <w:right w:val="single" w:sz="4" w:space="0" w:color="auto"/>
            </w:tcBorders>
            <w:noWrap/>
            <w:vAlign w:val="bottom"/>
            <w:hideMark/>
          </w:tcPr>
          <w:p w14:paraId="63228D20"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0</w:t>
            </w:r>
          </w:p>
        </w:tc>
        <w:tc>
          <w:tcPr>
            <w:tcW w:w="633" w:type="pct"/>
            <w:tcBorders>
              <w:top w:val="nil"/>
              <w:left w:val="nil"/>
              <w:bottom w:val="single" w:sz="4" w:space="0" w:color="auto"/>
              <w:right w:val="single" w:sz="4" w:space="0" w:color="auto"/>
            </w:tcBorders>
            <w:noWrap/>
            <w:vAlign w:val="bottom"/>
            <w:hideMark/>
          </w:tcPr>
          <w:p w14:paraId="3F8CF7A4"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0</w:t>
            </w:r>
          </w:p>
        </w:tc>
        <w:tc>
          <w:tcPr>
            <w:tcW w:w="493" w:type="pct"/>
            <w:tcBorders>
              <w:top w:val="nil"/>
              <w:left w:val="nil"/>
              <w:bottom w:val="single" w:sz="4" w:space="0" w:color="auto"/>
              <w:right w:val="single" w:sz="4" w:space="0" w:color="auto"/>
            </w:tcBorders>
            <w:noWrap/>
            <w:vAlign w:val="bottom"/>
            <w:hideMark/>
          </w:tcPr>
          <w:p w14:paraId="1E052174"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0</w:t>
            </w:r>
          </w:p>
        </w:tc>
      </w:tr>
      <w:tr w:rsidR="00842A15" w:rsidRPr="00291BF0" w14:paraId="51D6FC85" w14:textId="77777777" w:rsidTr="26B34547">
        <w:trPr>
          <w:trHeight w:val="252"/>
        </w:trPr>
        <w:tc>
          <w:tcPr>
            <w:tcW w:w="988" w:type="pct"/>
            <w:tcBorders>
              <w:top w:val="nil"/>
              <w:left w:val="single" w:sz="4" w:space="0" w:color="auto"/>
              <w:bottom w:val="single" w:sz="4" w:space="0" w:color="auto"/>
              <w:right w:val="single" w:sz="4" w:space="0" w:color="auto"/>
            </w:tcBorders>
            <w:noWrap/>
            <w:vAlign w:val="bottom"/>
            <w:hideMark/>
          </w:tcPr>
          <w:p w14:paraId="65F8D00D"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 </w:t>
            </w:r>
          </w:p>
        </w:tc>
        <w:tc>
          <w:tcPr>
            <w:tcW w:w="844" w:type="pct"/>
            <w:tcBorders>
              <w:top w:val="nil"/>
              <w:left w:val="nil"/>
              <w:bottom w:val="single" w:sz="4" w:space="0" w:color="auto"/>
              <w:right w:val="single" w:sz="4" w:space="0" w:color="auto"/>
            </w:tcBorders>
            <w:noWrap/>
            <w:vAlign w:val="bottom"/>
            <w:hideMark/>
          </w:tcPr>
          <w:p w14:paraId="15527AD6"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 xml:space="preserve">Third Party Charges - BSD and Copyright </w:t>
            </w:r>
          </w:p>
        </w:tc>
        <w:tc>
          <w:tcPr>
            <w:tcW w:w="1409" w:type="pct"/>
            <w:tcBorders>
              <w:top w:val="nil"/>
              <w:left w:val="nil"/>
              <w:bottom w:val="single" w:sz="4" w:space="0" w:color="auto"/>
              <w:right w:val="single" w:sz="4" w:space="0" w:color="auto"/>
            </w:tcBorders>
            <w:noWrap/>
            <w:vAlign w:val="bottom"/>
            <w:hideMark/>
          </w:tcPr>
          <w:p w14:paraId="183F1DBD"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 </w:t>
            </w:r>
          </w:p>
        </w:tc>
        <w:tc>
          <w:tcPr>
            <w:tcW w:w="634" w:type="pct"/>
            <w:tcBorders>
              <w:top w:val="nil"/>
              <w:left w:val="nil"/>
              <w:bottom w:val="single" w:sz="4" w:space="0" w:color="auto"/>
              <w:right w:val="single" w:sz="4" w:space="0" w:color="auto"/>
            </w:tcBorders>
            <w:noWrap/>
            <w:vAlign w:val="bottom"/>
            <w:hideMark/>
          </w:tcPr>
          <w:p w14:paraId="4864A5C4"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0</w:t>
            </w:r>
          </w:p>
        </w:tc>
        <w:tc>
          <w:tcPr>
            <w:tcW w:w="633" w:type="pct"/>
            <w:tcBorders>
              <w:top w:val="nil"/>
              <w:left w:val="nil"/>
              <w:bottom w:val="single" w:sz="4" w:space="0" w:color="auto"/>
              <w:right w:val="single" w:sz="4" w:space="0" w:color="auto"/>
            </w:tcBorders>
            <w:noWrap/>
            <w:vAlign w:val="bottom"/>
            <w:hideMark/>
          </w:tcPr>
          <w:p w14:paraId="58381C54"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0</w:t>
            </w:r>
          </w:p>
        </w:tc>
        <w:tc>
          <w:tcPr>
            <w:tcW w:w="493" w:type="pct"/>
            <w:tcBorders>
              <w:top w:val="nil"/>
              <w:left w:val="nil"/>
              <w:bottom w:val="single" w:sz="4" w:space="0" w:color="auto"/>
              <w:right w:val="single" w:sz="4" w:space="0" w:color="auto"/>
            </w:tcBorders>
            <w:noWrap/>
            <w:vAlign w:val="bottom"/>
            <w:hideMark/>
          </w:tcPr>
          <w:p w14:paraId="7BA3B155"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0</w:t>
            </w:r>
          </w:p>
        </w:tc>
      </w:tr>
      <w:tr w:rsidR="00842A15" w:rsidRPr="00291BF0" w14:paraId="421B390C" w14:textId="77777777" w:rsidTr="26B34547">
        <w:trPr>
          <w:trHeight w:val="252"/>
        </w:trPr>
        <w:tc>
          <w:tcPr>
            <w:tcW w:w="988" w:type="pct"/>
            <w:tcBorders>
              <w:top w:val="nil"/>
              <w:left w:val="single" w:sz="4" w:space="0" w:color="auto"/>
              <w:bottom w:val="single" w:sz="4" w:space="0" w:color="auto"/>
              <w:right w:val="single" w:sz="4" w:space="0" w:color="auto"/>
            </w:tcBorders>
            <w:noWrap/>
            <w:vAlign w:val="bottom"/>
            <w:hideMark/>
          </w:tcPr>
          <w:p w14:paraId="3FA250B6"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 </w:t>
            </w:r>
          </w:p>
        </w:tc>
        <w:tc>
          <w:tcPr>
            <w:tcW w:w="844" w:type="pct"/>
            <w:tcBorders>
              <w:top w:val="nil"/>
              <w:left w:val="nil"/>
              <w:bottom w:val="single" w:sz="4" w:space="0" w:color="auto"/>
              <w:right w:val="single" w:sz="4" w:space="0" w:color="auto"/>
            </w:tcBorders>
            <w:noWrap/>
            <w:vAlign w:val="bottom"/>
            <w:hideMark/>
          </w:tcPr>
          <w:p w14:paraId="50FF1A27" w14:textId="49B54F66" w:rsidR="00842A15" w:rsidRPr="00291BF0" w:rsidRDefault="00842A15" w:rsidP="62AA30B3">
            <w:pPr>
              <w:widowControl/>
              <w:autoSpaceDE/>
              <w:autoSpaceDN/>
              <w:spacing w:before="100" w:beforeAutospacing="1" w:after="100" w:afterAutospacing="1" w:line="276" w:lineRule="auto"/>
              <w:jc w:val="both"/>
              <w:rPr>
                <w:color w:val="000000"/>
                <w:sz w:val="20"/>
                <w:szCs w:val="20"/>
                <w:lang w:eastAsia="en-GB"/>
              </w:rPr>
            </w:pPr>
            <w:r w:rsidRPr="62AA30B3">
              <w:rPr>
                <w:color w:val="000000" w:themeColor="text1"/>
                <w:sz w:val="20"/>
                <w:szCs w:val="20"/>
                <w:lang w:eastAsia="en-GB"/>
              </w:rPr>
              <w:t xml:space="preserve">Quality of Service (QoS) (especially between BSD and </w:t>
            </w:r>
            <w:r w:rsidRPr="62AA30B3">
              <w:rPr>
                <w:color w:val="000000" w:themeColor="text1"/>
                <w:sz w:val="20"/>
                <w:szCs w:val="20"/>
                <w:lang w:eastAsia="en-GB"/>
              </w:rPr>
              <w:lastRenderedPageBreak/>
              <w:t>FTA Broadcasters)</w:t>
            </w:r>
          </w:p>
        </w:tc>
        <w:tc>
          <w:tcPr>
            <w:tcW w:w="1409" w:type="pct"/>
            <w:tcBorders>
              <w:top w:val="nil"/>
              <w:left w:val="nil"/>
              <w:bottom w:val="single" w:sz="4" w:space="0" w:color="auto"/>
              <w:right w:val="single" w:sz="4" w:space="0" w:color="auto"/>
            </w:tcBorders>
            <w:noWrap/>
            <w:vAlign w:val="bottom"/>
            <w:hideMark/>
          </w:tcPr>
          <w:p w14:paraId="659B214F"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lastRenderedPageBreak/>
              <w:t> </w:t>
            </w:r>
          </w:p>
        </w:tc>
        <w:tc>
          <w:tcPr>
            <w:tcW w:w="634" w:type="pct"/>
            <w:tcBorders>
              <w:top w:val="nil"/>
              <w:left w:val="nil"/>
              <w:bottom w:val="single" w:sz="4" w:space="0" w:color="auto"/>
              <w:right w:val="single" w:sz="4" w:space="0" w:color="auto"/>
            </w:tcBorders>
            <w:noWrap/>
            <w:vAlign w:val="bottom"/>
            <w:hideMark/>
          </w:tcPr>
          <w:p w14:paraId="0B59B70F"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9</w:t>
            </w:r>
          </w:p>
        </w:tc>
        <w:tc>
          <w:tcPr>
            <w:tcW w:w="633" w:type="pct"/>
            <w:tcBorders>
              <w:top w:val="nil"/>
              <w:left w:val="nil"/>
              <w:bottom w:val="single" w:sz="4" w:space="0" w:color="auto"/>
              <w:right w:val="single" w:sz="4" w:space="0" w:color="auto"/>
            </w:tcBorders>
            <w:noWrap/>
            <w:vAlign w:val="bottom"/>
            <w:hideMark/>
          </w:tcPr>
          <w:p w14:paraId="0BD06862"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5</w:t>
            </w:r>
          </w:p>
        </w:tc>
        <w:tc>
          <w:tcPr>
            <w:tcW w:w="493" w:type="pct"/>
            <w:tcBorders>
              <w:top w:val="nil"/>
              <w:left w:val="nil"/>
              <w:bottom w:val="single" w:sz="4" w:space="0" w:color="auto"/>
              <w:right w:val="single" w:sz="4" w:space="0" w:color="auto"/>
            </w:tcBorders>
            <w:noWrap/>
            <w:vAlign w:val="bottom"/>
            <w:hideMark/>
          </w:tcPr>
          <w:p w14:paraId="55413857"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4</w:t>
            </w:r>
          </w:p>
        </w:tc>
      </w:tr>
      <w:tr w:rsidR="00842A15" w:rsidRPr="00291BF0" w14:paraId="468E9E38" w14:textId="77777777" w:rsidTr="26B34547">
        <w:trPr>
          <w:trHeight w:val="252"/>
        </w:trPr>
        <w:tc>
          <w:tcPr>
            <w:tcW w:w="988" w:type="pct"/>
            <w:tcBorders>
              <w:top w:val="nil"/>
              <w:left w:val="single" w:sz="4" w:space="0" w:color="auto"/>
              <w:bottom w:val="single" w:sz="4" w:space="0" w:color="auto"/>
              <w:right w:val="single" w:sz="4" w:space="0" w:color="auto"/>
            </w:tcBorders>
            <w:noWrap/>
            <w:vAlign w:val="bottom"/>
            <w:hideMark/>
          </w:tcPr>
          <w:p w14:paraId="29685A3A"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 </w:t>
            </w:r>
          </w:p>
        </w:tc>
        <w:tc>
          <w:tcPr>
            <w:tcW w:w="844" w:type="pct"/>
            <w:tcBorders>
              <w:top w:val="nil"/>
              <w:left w:val="nil"/>
              <w:bottom w:val="single" w:sz="4" w:space="0" w:color="auto"/>
              <w:right w:val="single" w:sz="4" w:space="0" w:color="auto"/>
            </w:tcBorders>
            <w:noWrap/>
            <w:vAlign w:val="bottom"/>
            <w:hideMark/>
          </w:tcPr>
          <w:p w14:paraId="235A26E2" w14:textId="77777777" w:rsidR="00842A15" w:rsidRPr="00291BF0" w:rsidRDefault="00842A15" w:rsidP="62AA30B3">
            <w:pPr>
              <w:widowControl/>
              <w:autoSpaceDE/>
              <w:autoSpaceDN/>
              <w:spacing w:before="100" w:beforeAutospacing="1" w:after="100" w:afterAutospacing="1" w:line="276" w:lineRule="auto"/>
              <w:jc w:val="both"/>
              <w:rPr>
                <w:color w:val="000000"/>
                <w:sz w:val="20"/>
                <w:szCs w:val="20"/>
                <w:lang w:eastAsia="en-GB"/>
              </w:rPr>
            </w:pPr>
            <w:r w:rsidRPr="62AA30B3">
              <w:rPr>
                <w:color w:val="000000" w:themeColor="text1"/>
                <w:sz w:val="20"/>
                <w:szCs w:val="20"/>
                <w:lang w:eastAsia="en-GB"/>
              </w:rPr>
              <w:t xml:space="preserve">Illegal termination of service by </w:t>
            </w:r>
            <w:proofErr w:type="spellStart"/>
            <w:r w:rsidRPr="62AA30B3">
              <w:rPr>
                <w:color w:val="000000" w:themeColor="text1"/>
                <w:sz w:val="20"/>
                <w:szCs w:val="20"/>
                <w:lang w:eastAsia="en-GB"/>
              </w:rPr>
              <w:t>PayTV</w:t>
            </w:r>
            <w:proofErr w:type="spellEnd"/>
            <w:r w:rsidRPr="62AA30B3">
              <w:rPr>
                <w:color w:val="000000" w:themeColor="text1"/>
                <w:sz w:val="20"/>
                <w:szCs w:val="20"/>
                <w:lang w:eastAsia="en-GB"/>
              </w:rPr>
              <w:t xml:space="preserve"> Subscribers</w:t>
            </w:r>
          </w:p>
        </w:tc>
        <w:tc>
          <w:tcPr>
            <w:tcW w:w="1409" w:type="pct"/>
            <w:tcBorders>
              <w:top w:val="single" w:sz="4" w:space="0" w:color="auto"/>
              <w:left w:val="nil"/>
              <w:bottom w:val="single" w:sz="4" w:space="0" w:color="auto"/>
              <w:right w:val="single" w:sz="4" w:space="0" w:color="auto"/>
            </w:tcBorders>
            <w:noWrap/>
            <w:vAlign w:val="bottom"/>
            <w:hideMark/>
          </w:tcPr>
          <w:p w14:paraId="54926E56"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 </w:t>
            </w:r>
          </w:p>
        </w:tc>
        <w:tc>
          <w:tcPr>
            <w:tcW w:w="634" w:type="pct"/>
            <w:tcBorders>
              <w:top w:val="single" w:sz="4" w:space="0" w:color="auto"/>
              <w:left w:val="nil"/>
              <w:bottom w:val="single" w:sz="4" w:space="0" w:color="auto"/>
              <w:right w:val="nil"/>
            </w:tcBorders>
            <w:noWrap/>
            <w:vAlign w:val="bottom"/>
            <w:hideMark/>
          </w:tcPr>
          <w:p w14:paraId="109FC8F7"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0</w:t>
            </w:r>
          </w:p>
        </w:tc>
        <w:tc>
          <w:tcPr>
            <w:tcW w:w="633" w:type="pct"/>
            <w:tcBorders>
              <w:top w:val="single" w:sz="4" w:space="0" w:color="auto"/>
              <w:left w:val="single" w:sz="4" w:space="0" w:color="auto"/>
              <w:bottom w:val="single" w:sz="4" w:space="0" w:color="auto"/>
              <w:right w:val="single" w:sz="4" w:space="0" w:color="auto"/>
            </w:tcBorders>
            <w:noWrap/>
            <w:vAlign w:val="bottom"/>
            <w:hideMark/>
          </w:tcPr>
          <w:p w14:paraId="5CED5889"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 0</w:t>
            </w:r>
          </w:p>
        </w:tc>
        <w:tc>
          <w:tcPr>
            <w:tcW w:w="493" w:type="pct"/>
            <w:tcBorders>
              <w:top w:val="single" w:sz="4" w:space="0" w:color="auto"/>
              <w:left w:val="nil"/>
              <w:bottom w:val="single" w:sz="4" w:space="0" w:color="auto"/>
              <w:right w:val="single" w:sz="4" w:space="0" w:color="auto"/>
            </w:tcBorders>
            <w:noWrap/>
            <w:vAlign w:val="bottom"/>
            <w:hideMark/>
          </w:tcPr>
          <w:p w14:paraId="186A7170"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 0</w:t>
            </w:r>
          </w:p>
        </w:tc>
      </w:tr>
      <w:tr w:rsidR="00842A15" w:rsidRPr="00291BF0" w14:paraId="532A333E" w14:textId="77777777" w:rsidTr="26B34547">
        <w:trPr>
          <w:trHeight w:val="252"/>
        </w:trPr>
        <w:tc>
          <w:tcPr>
            <w:tcW w:w="988" w:type="pct"/>
            <w:tcBorders>
              <w:top w:val="nil"/>
              <w:left w:val="single" w:sz="4" w:space="0" w:color="auto"/>
              <w:bottom w:val="single" w:sz="4" w:space="0" w:color="auto"/>
              <w:right w:val="single" w:sz="4" w:space="0" w:color="auto"/>
            </w:tcBorders>
            <w:noWrap/>
            <w:vAlign w:val="bottom"/>
            <w:hideMark/>
          </w:tcPr>
          <w:p w14:paraId="68589D96"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Postal and Courier</w:t>
            </w:r>
          </w:p>
        </w:tc>
        <w:tc>
          <w:tcPr>
            <w:tcW w:w="844" w:type="pct"/>
            <w:tcBorders>
              <w:top w:val="nil"/>
              <w:left w:val="nil"/>
              <w:bottom w:val="single" w:sz="4" w:space="0" w:color="auto"/>
              <w:right w:val="single" w:sz="4" w:space="0" w:color="auto"/>
            </w:tcBorders>
            <w:noWrap/>
            <w:vAlign w:val="bottom"/>
            <w:hideMark/>
          </w:tcPr>
          <w:p w14:paraId="2AA27C21"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 </w:t>
            </w:r>
          </w:p>
        </w:tc>
        <w:tc>
          <w:tcPr>
            <w:tcW w:w="1409" w:type="pct"/>
            <w:tcBorders>
              <w:top w:val="single" w:sz="4" w:space="0" w:color="auto"/>
              <w:left w:val="nil"/>
              <w:bottom w:val="single" w:sz="4" w:space="0" w:color="auto"/>
              <w:right w:val="single" w:sz="4" w:space="0" w:color="auto"/>
            </w:tcBorders>
            <w:noWrap/>
            <w:vAlign w:val="bottom"/>
            <w:hideMark/>
          </w:tcPr>
          <w:p w14:paraId="3680C266"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 </w:t>
            </w:r>
          </w:p>
        </w:tc>
        <w:tc>
          <w:tcPr>
            <w:tcW w:w="634" w:type="pct"/>
            <w:tcBorders>
              <w:top w:val="single" w:sz="4" w:space="0" w:color="auto"/>
              <w:left w:val="nil"/>
              <w:bottom w:val="single" w:sz="4" w:space="0" w:color="auto"/>
              <w:right w:val="single" w:sz="4" w:space="0" w:color="auto"/>
            </w:tcBorders>
            <w:noWrap/>
            <w:vAlign w:val="bottom"/>
            <w:hideMark/>
          </w:tcPr>
          <w:p w14:paraId="04AE96AE" w14:textId="77777777" w:rsidR="00842A15" w:rsidRPr="00291BF0" w:rsidRDefault="00842A15" w:rsidP="00240F9B">
            <w:pPr>
              <w:widowControl/>
              <w:autoSpaceDE/>
              <w:autoSpaceDN/>
              <w:spacing w:before="100" w:beforeAutospacing="1" w:after="100" w:afterAutospacing="1" w:line="276" w:lineRule="auto"/>
              <w:jc w:val="both"/>
              <w:rPr>
                <w:b/>
                <w:bCs/>
                <w:color w:val="000000"/>
                <w:sz w:val="20"/>
                <w:szCs w:val="20"/>
                <w:lang w:eastAsia="en-GB"/>
              </w:rPr>
            </w:pPr>
            <w:r w:rsidRPr="00291BF0">
              <w:rPr>
                <w:b/>
                <w:bCs/>
                <w:color w:val="000000"/>
                <w:sz w:val="20"/>
                <w:szCs w:val="20"/>
                <w:lang w:eastAsia="en-GB"/>
              </w:rPr>
              <w:t>13</w:t>
            </w:r>
          </w:p>
        </w:tc>
        <w:tc>
          <w:tcPr>
            <w:tcW w:w="633" w:type="pct"/>
            <w:tcBorders>
              <w:top w:val="single" w:sz="4" w:space="0" w:color="auto"/>
              <w:left w:val="nil"/>
              <w:bottom w:val="single" w:sz="4" w:space="0" w:color="auto"/>
              <w:right w:val="single" w:sz="4" w:space="0" w:color="auto"/>
            </w:tcBorders>
            <w:noWrap/>
            <w:vAlign w:val="bottom"/>
            <w:hideMark/>
          </w:tcPr>
          <w:p w14:paraId="38D73999" w14:textId="77777777" w:rsidR="00842A15" w:rsidRPr="00291BF0" w:rsidRDefault="00842A15" w:rsidP="00240F9B">
            <w:pPr>
              <w:widowControl/>
              <w:autoSpaceDE/>
              <w:autoSpaceDN/>
              <w:spacing w:before="100" w:beforeAutospacing="1" w:after="100" w:afterAutospacing="1" w:line="276" w:lineRule="auto"/>
              <w:jc w:val="both"/>
              <w:rPr>
                <w:b/>
                <w:bCs/>
                <w:color w:val="000000"/>
                <w:sz w:val="20"/>
                <w:szCs w:val="20"/>
                <w:lang w:eastAsia="en-GB"/>
              </w:rPr>
            </w:pPr>
            <w:r w:rsidRPr="00291BF0">
              <w:rPr>
                <w:b/>
                <w:bCs/>
                <w:color w:val="000000"/>
                <w:sz w:val="20"/>
                <w:szCs w:val="20"/>
                <w:lang w:eastAsia="en-GB"/>
              </w:rPr>
              <w:t>6</w:t>
            </w:r>
          </w:p>
        </w:tc>
        <w:tc>
          <w:tcPr>
            <w:tcW w:w="493" w:type="pct"/>
            <w:tcBorders>
              <w:top w:val="single" w:sz="4" w:space="0" w:color="auto"/>
              <w:left w:val="nil"/>
              <w:bottom w:val="single" w:sz="4" w:space="0" w:color="auto"/>
              <w:right w:val="single" w:sz="4" w:space="0" w:color="auto"/>
            </w:tcBorders>
            <w:noWrap/>
            <w:vAlign w:val="bottom"/>
            <w:hideMark/>
          </w:tcPr>
          <w:p w14:paraId="33C978C0" w14:textId="77777777" w:rsidR="00842A15" w:rsidRPr="00291BF0" w:rsidRDefault="00842A15" w:rsidP="00240F9B">
            <w:pPr>
              <w:widowControl/>
              <w:autoSpaceDE/>
              <w:autoSpaceDN/>
              <w:spacing w:before="100" w:beforeAutospacing="1" w:after="100" w:afterAutospacing="1" w:line="276" w:lineRule="auto"/>
              <w:jc w:val="both"/>
              <w:rPr>
                <w:b/>
                <w:bCs/>
                <w:color w:val="000000"/>
                <w:sz w:val="20"/>
                <w:szCs w:val="20"/>
                <w:lang w:eastAsia="en-GB"/>
              </w:rPr>
            </w:pPr>
            <w:r w:rsidRPr="00291BF0">
              <w:rPr>
                <w:b/>
                <w:bCs/>
                <w:color w:val="000000"/>
                <w:sz w:val="20"/>
                <w:szCs w:val="20"/>
                <w:lang w:eastAsia="en-GB"/>
              </w:rPr>
              <w:t>7</w:t>
            </w:r>
          </w:p>
        </w:tc>
      </w:tr>
      <w:tr w:rsidR="00842A15" w:rsidRPr="00291BF0" w14:paraId="2C812841" w14:textId="77777777" w:rsidTr="26B34547">
        <w:trPr>
          <w:trHeight w:val="252"/>
        </w:trPr>
        <w:tc>
          <w:tcPr>
            <w:tcW w:w="988" w:type="pct"/>
            <w:tcBorders>
              <w:top w:val="nil"/>
              <w:left w:val="single" w:sz="4" w:space="0" w:color="auto"/>
              <w:bottom w:val="single" w:sz="4" w:space="0" w:color="auto"/>
              <w:right w:val="single" w:sz="4" w:space="0" w:color="auto"/>
            </w:tcBorders>
            <w:noWrap/>
            <w:vAlign w:val="bottom"/>
            <w:hideMark/>
          </w:tcPr>
          <w:p w14:paraId="14FCB508"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 </w:t>
            </w:r>
          </w:p>
        </w:tc>
        <w:tc>
          <w:tcPr>
            <w:tcW w:w="844" w:type="pct"/>
            <w:tcBorders>
              <w:top w:val="nil"/>
              <w:left w:val="nil"/>
              <w:bottom w:val="single" w:sz="4" w:space="0" w:color="auto"/>
              <w:right w:val="single" w:sz="4" w:space="0" w:color="auto"/>
            </w:tcBorders>
            <w:noWrap/>
            <w:vAlign w:val="bottom"/>
            <w:hideMark/>
          </w:tcPr>
          <w:p w14:paraId="3DB9AFC6"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Delayed Delivery/Non-delivery</w:t>
            </w:r>
          </w:p>
        </w:tc>
        <w:tc>
          <w:tcPr>
            <w:tcW w:w="1409" w:type="pct"/>
            <w:tcBorders>
              <w:top w:val="single" w:sz="4" w:space="0" w:color="auto"/>
              <w:left w:val="nil"/>
              <w:bottom w:val="single" w:sz="4" w:space="0" w:color="auto"/>
              <w:right w:val="single" w:sz="4" w:space="0" w:color="auto"/>
            </w:tcBorders>
            <w:noWrap/>
            <w:vAlign w:val="bottom"/>
            <w:hideMark/>
          </w:tcPr>
          <w:p w14:paraId="17991DCB"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 </w:t>
            </w:r>
          </w:p>
        </w:tc>
        <w:tc>
          <w:tcPr>
            <w:tcW w:w="634" w:type="pct"/>
            <w:tcBorders>
              <w:top w:val="single" w:sz="4" w:space="0" w:color="auto"/>
              <w:left w:val="nil"/>
              <w:bottom w:val="single" w:sz="4" w:space="0" w:color="auto"/>
              <w:right w:val="single" w:sz="4" w:space="0" w:color="auto"/>
            </w:tcBorders>
            <w:noWrap/>
            <w:vAlign w:val="bottom"/>
            <w:hideMark/>
          </w:tcPr>
          <w:p w14:paraId="6818A692"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9</w:t>
            </w:r>
          </w:p>
        </w:tc>
        <w:tc>
          <w:tcPr>
            <w:tcW w:w="633" w:type="pct"/>
            <w:tcBorders>
              <w:top w:val="single" w:sz="4" w:space="0" w:color="auto"/>
              <w:left w:val="nil"/>
              <w:bottom w:val="single" w:sz="4" w:space="0" w:color="auto"/>
              <w:right w:val="single" w:sz="4" w:space="0" w:color="auto"/>
            </w:tcBorders>
            <w:noWrap/>
            <w:vAlign w:val="bottom"/>
            <w:hideMark/>
          </w:tcPr>
          <w:p w14:paraId="14BB273A"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4</w:t>
            </w:r>
          </w:p>
        </w:tc>
        <w:tc>
          <w:tcPr>
            <w:tcW w:w="493" w:type="pct"/>
            <w:tcBorders>
              <w:top w:val="single" w:sz="4" w:space="0" w:color="auto"/>
              <w:left w:val="nil"/>
              <w:bottom w:val="single" w:sz="4" w:space="0" w:color="auto"/>
              <w:right w:val="single" w:sz="4" w:space="0" w:color="auto"/>
            </w:tcBorders>
            <w:noWrap/>
            <w:vAlign w:val="bottom"/>
            <w:hideMark/>
          </w:tcPr>
          <w:p w14:paraId="6ADC9D08"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5</w:t>
            </w:r>
          </w:p>
        </w:tc>
      </w:tr>
      <w:tr w:rsidR="00842A15" w:rsidRPr="00291BF0" w14:paraId="3C290F5C" w14:textId="77777777" w:rsidTr="26B34547">
        <w:trPr>
          <w:trHeight w:val="252"/>
        </w:trPr>
        <w:tc>
          <w:tcPr>
            <w:tcW w:w="988" w:type="pct"/>
            <w:tcBorders>
              <w:top w:val="nil"/>
              <w:left w:val="single" w:sz="4" w:space="0" w:color="auto"/>
              <w:bottom w:val="single" w:sz="4" w:space="0" w:color="auto"/>
              <w:right w:val="single" w:sz="4" w:space="0" w:color="auto"/>
            </w:tcBorders>
            <w:noWrap/>
            <w:vAlign w:val="bottom"/>
            <w:hideMark/>
          </w:tcPr>
          <w:p w14:paraId="71F2121D"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 </w:t>
            </w:r>
          </w:p>
        </w:tc>
        <w:tc>
          <w:tcPr>
            <w:tcW w:w="844" w:type="pct"/>
            <w:tcBorders>
              <w:top w:val="nil"/>
              <w:left w:val="nil"/>
              <w:bottom w:val="single" w:sz="4" w:space="0" w:color="auto"/>
              <w:right w:val="single" w:sz="4" w:space="0" w:color="auto"/>
            </w:tcBorders>
            <w:noWrap/>
            <w:vAlign w:val="bottom"/>
            <w:hideMark/>
          </w:tcPr>
          <w:p w14:paraId="6EADCDD4"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Damaged Items</w:t>
            </w:r>
          </w:p>
        </w:tc>
        <w:tc>
          <w:tcPr>
            <w:tcW w:w="1409" w:type="pct"/>
            <w:tcBorders>
              <w:top w:val="single" w:sz="4" w:space="0" w:color="auto"/>
              <w:left w:val="nil"/>
              <w:bottom w:val="single" w:sz="4" w:space="0" w:color="auto"/>
              <w:right w:val="single" w:sz="4" w:space="0" w:color="auto"/>
            </w:tcBorders>
            <w:noWrap/>
            <w:vAlign w:val="bottom"/>
            <w:hideMark/>
          </w:tcPr>
          <w:p w14:paraId="1CBE426B"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 </w:t>
            </w:r>
          </w:p>
        </w:tc>
        <w:tc>
          <w:tcPr>
            <w:tcW w:w="634" w:type="pct"/>
            <w:tcBorders>
              <w:top w:val="single" w:sz="4" w:space="0" w:color="auto"/>
              <w:left w:val="nil"/>
              <w:bottom w:val="single" w:sz="4" w:space="0" w:color="auto"/>
              <w:right w:val="single" w:sz="4" w:space="0" w:color="auto"/>
            </w:tcBorders>
            <w:noWrap/>
            <w:vAlign w:val="bottom"/>
            <w:hideMark/>
          </w:tcPr>
          <w:p w14:paraId="4A06B4D9"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2</w:t>
            </w:r>
          </w:p>
        </w:tc>
        <w:tc>
          <w:tcPr>
            <w:tcW w:w="633" w:type="pct"/>
            <w:tcBorders>
              <w:top w:val="single" w:sz="4" w:space="0" w:color="auto"/>
              <w:left w:val="nil"/>
              <w:bottom w:val="single" w:sz="4" w:space="0" w:color="auto"/>
              <w:right w:val="single" w:sz="4" w:space="0" w:color="auto"/>
            </w:tcBorders>
            <w:noWrap/>
            <w:vAlign w:val="bottom"/>
            <w:hideMark/>
          </w:tcPr>
          <w:p w14:paraId="7E54C896"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1</w:t>
            </w:r>
          </w:p>
        </w:tc>
        <w:tc>
          <w:tcPr>
            <w:tcW w:w="493" w:type="pct"/>
            <w:tcBorders>
              <w:top w:val="single" w:sz="4" w:space="0" w:color="auto"/>
              <w:left w:val="nil"/>
              <w:bottom w:val="single" w:sz="4" w:space="0" w:color="auto"/>
              <w:right w:val="single" w:sz="4" w:space="0" w:color="auto"/>
            </w:tcBorders>
            <w:noWrap/>
            <w:vAlign w:val="bottom"/>
            <w:hideMark/>
          </w:tcPr>
          <w:p w14:paraId="15A027F1"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1</w:t>
            </w:r>
          </w:p>
        </w:tc>
      </w:tr>
      <w:tr w:rsidR="00842A15" w:rsidRPr="00291BF0" w14:paraId="375F4924" w14:textId="77777777" w:rsidTr="26B34547">
        <w:trPr>
          <w:trHeight w:val="252"/>
        </w:trPr>
        <w:tc>
          <w:tcPr>
            <w:tcW w:w="988" w:type="pct"/>
            <w:tcBorders>
              <w:top w:val="nil"/>
              <w:left w:val="single" w:sz="4" w:space="0" w:color="auto"/>
              <w:bottom w:val="single" w:sz="4" w:space="0" w:color="auto"/>
              <w:right w:val="single" w:sz="4" w:space="0" w:color="auto"/>
            </w:tcBorders>
            <w:noWrap/>
            <w:vAlign w:val="bottom"/>
            <w:hideMark/>
          </w:tcPr>
          <w:p w14:paraId="0E3F08DA"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 </w:t>
            </w:r>
          </w:p>
        </w:tc>
        <w:tc>
          <w:tcPr>
            <w:tcW w:w="844" w:type="pct"/>
            <w:tcBorders>
              <w:top w:val="nil"/>
              <w:left w:val="nil"/>
              <w:bottom w:val="single" w:sz="4" w:space="0" w:color="auto"/>
              <w:right w:val="single" w:sz="4" w:space="0" w:color="auto"/>
            </w:tcBorders>
            <w:noWrap/>
            <w:vAlign w:val="bottom"/>
            <w:hideMark/>
          </w:tcPr>
          <w:p w14:paraId="2343512A"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Loss of Items</w:t>
            </w:r>
          </w:p>
        </w:tc>
        <w:tc>
          <w:tcPr>
            <w:tcW w:w="1409" w:type="pct"/>
            <w:tcBorders>
              <w:top w:val="single" w:sz="4" w:space="0" w:color="auto"/>
              <w:left w:val="nil"/>
              <w:bottom w:val="single" w:sz="4" w:space="0" w:color="auto"/>
              <w:right w:val="single" w:sz="4" w:space="0" w:color="auto"/>
            </w:tcBorders>
            <w:noWrap/>
            <w:vAlign w:val="bottom"/>
            <w:hideMark/>
          </w:tcPr>
          <w:p w14:paraId="688D740C"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 </w:t>
            </w:r>
          </w:p>
        </w:tc>
        <w:tc>
          <w:tcPr>
            <w:tcW w:w="634" w:type="pct"/>
            <w:tcBorders>
              <w:top w:val="single" w:sz="4" w:space="0" w:color="auto"/>
              <w:left w:val="nil"/>
              <w:bottom w:val="single" w:sz="4" w:space="0" w:color="auto"/>
              <w:right w:val="single" w:sz="4" w:space="0" w:color="auto"/>
            </w:tcBorders>
            <w:noWrap/>
            <w:vAlign w:val="bottom"/>
            <w:hideMark/>
          </w:tcPr>
          <w:p w14:paraId="15A9EE9E"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1</w:t>
            </w:r>
          </w:p>
        </w:tc>
        <w:tc>
          <w:tcPr>
            <w:tcW w:w="633" w:type="pct"/>
            <w:tcBorders>
              <w:top w:val="single" w:sz="4" w:space="0" w:color="auto"/>
              <w:left w:val="nil"/>
              <w:bottom w:val="single" w:sz="4" w:space="0" w:color="auto"/>
              <w:right w:val="single" w:sz="4" w:space="0" w:color="auto"/>
            </w:tcBorders>
            <w:noWrap/>
            <w:vAlign w:val="bottom"/>
            <w:hideMark/>
          </w:tcPr>
          <w:p w14:paraId="3333D959"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0</w:t>
            </w:r>
          </w:p>
        </w:tc>
        <w:tc>
          <w:tcPr>
            <w:tcW w:w="493" w:type="pct"/>
            <w:tcBorders>
              <w:top w:val="single" w:sz="4" w:space="0" w:color="auto"/>
              <w:left w:val="nil"/>
              <w:bottom w:val="single" w:sz="4" w:space="0" w:color="auto"/>
              <w:right w:val="single" w:sz="4" w:space="0" w:color="auto"/>
            </w:tcBorders>
            <w:noWrap/>
            <w:vAlign w:val="bottom"/>
            <w:hideMark/>
          </w:tcPr>
          <w:p w14:paraId="6725FCC7"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1</w:t>
            </w:r>
          </w:p>
        </w:tc>
      </w:tr>
      <w:tr w:rsidR="00842A15" w:rsidRPr="00291BF0" w14:paraId="5C44EBF1" w14:textId="77777777" w:rsidTr="26B34547">
        <w:trPr>
          <w:trHeight w:val="252"/>
        </w:trPr>
        <w:tc>
          <w:tcPr>
            <w:tcW w:w="988" w:type="pct"/>
            <w:tcBorders>
              <w:top w:val="nil"/>
              <w:left w:val="single" w:sz="4" w:space="0" w:color="auto"/>
              <w:bottom w:val="single" w:sz="4" w:space="0" w:color="auto"/>
              <w:right w:val="single" w:sz="4" w:space="0" w:color="auto"/>
            </w:tcBorders>
            <w:noWrap/>
            <w:vAlign w:val="bottom"/>
            <w:hideMark/>
          </w:tcPr>
          <w:p w14:paraId="5D85C4AA"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 </w:t>
            </w:r>
          </w:p>
        </w:tc>
        <w:tc>
          <w:tcPr>
            <w:tcW w:w="844" w:type="pct"/>
            <w:tcBorders>
              <w:top w:val="nil"/>
              <w:left w:val="nil"/>
              <w:bottom w:val="single" w:sz="4" w:space="0" w:color="auto"/>
              <w:right w:val="single" w:sz="4" w:space="0" w:color="auto"/>
            </w:tcBorders>
            <w:noWrap/>
            <w:vAlign w:val="bottom"/>
            <w:hideMark/>
          </w:tcPr>
          <w:p w14:paraId="6FD69EBF"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Alleged Fraud</w:t>
            </w:r>
          </w:p>
        </w:tc>
        <w:tc>
          <w:tcPr>
            <w:tcW w:w="1409" w:type="pct"/>
            <w:tcBorders>
              <w:top w:val="single" w:sz="4" w:space="0" w:color="auto"/>
              <w:left w:val="nil"/>
              <w:bottom w:val="single" w:sz="4" w:space="0" w:color="auto"/>
              <w:right w:val="single" w:sz="4" w:space="0" w:color="auto"/>
            </w:tcBorders>
            <w:noWrap/>
            <w:vAlign w:val="bottom"/>
            <w:hideMark/>
          </w:tcPr>
          <w:p w14:paraId="1795024C"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 </w:t>
            </w:r>
          </w:p>
        </w:tc>
        <w:tc>
          <w:tcPr>
            <w:tcW w:w="634" w:type="pct"/>
            <w:tcBorders>
              <w:top w:val="single" w:sz="4" w:space="0" w:color="auto"/>
              <w:left w:val="nil"/>
              <w:bottom w:val="single" w:sz="4" w:space="0" w:color="auto"/>
              <w:right w:val="single" w:sz="4" w:space="0" w:color="auto"/>
            </w:tcBorders>
            <w:noWrap/>
            <w:vAlign w:val="bottom"/>
            <w:hideMark/>
          </w:tcPr>
          <w:p w14:paraId="4A85C94B"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0</w:t>
            </w:r>
          </w:p>
        </w:tc>
        <w:tc>
          <w:tcPr>
            <w:tcW w:w="633" w:type="pct"/>
            <w:tcBorders>
              <w:top w:val="single" w:sz="4" w:space="0" w:color="auto"/>
              <w:left w:val="nil"/>
              <w:bottom w:val="single" w:sz="4" w:space="0" w:color="auto"/>
              <w:right w:val="single" w:sz="4" w:space="0" w:color="auto"/>
            </w:tcBorders>
            <w:noWrap/>
            <w:vAlign w:val="bottom"/>
            <w:hideMark/>
          </w:tcPr>
          <w:p w14:paraId="0988181E"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0</w:t>
            </w:r>
          </w:p>
        </w:tc>
        <w:tc>
          <w:tcPr>
            <w:tcW w:w="493" w:type="pct"/>
            <w:tcBorders>
              <w:top w:val="single" w:sz="4" w:space="0" w:color="auto"/>
              <w:left w:val="nil"/>
              <w:bottom w:val="single" w:sz="4" w:space="0" w:color="auto"/>
              <w:right w:val="single" w:sz="4" w:space="0" w:color="auto"/>
            </w:tcBorders>
            <w:noWrap/>
            <w:vAlign w:val="bottom"/>
            <w:hideMark/>
          </w:tcPr>
          <w:p w14:paraId="4511F085"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0</w:t>
            </w:r>
          </w:p>
        </w:tc>
      </w:tr>
      <w:tr w:rsidR="00842A15" w:rsidRPr="00291BF0" w14:paraId="6531C638" w14:textId="77777777" w:rsidTr="26B34547">
        <w:trPr>
          <w:trHeight w:val="252"/>
        </w:trPr>
        <w:tc>
          <w:tcPr>
            <w:tcW w:w="988" w:type="pct"/>
            <w:tcBorders>
              <w:top w:val="nil"/>
              <w:left w:val="single" w:sz="4" w:space="0" w:color="auto"/>
              <w:bottom w:val="single" w:sz="4" w:space="0" w:color="auto"/>
              <w:right w:val="single" w:sz="4" w:space="0" w:color="auto"/>
            </w:tcBorders>
            <w:noWrap/>
            <w:vAlign w:val="bottom"/>
            <w:hideMark/>
          </w:tcPr>
          <w:p w14:paraId="5B1C5D48"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 </w:t>
            </w:r>
          </w:p>
        </w:tc>
        <w:tc>
          <w:tcPr>
            <w:tcW w:w="844" w:type="pct"/>
            <w:tcBorders>
              <w:top w:val="nil"/>
              <w:left w:val="nil"/>
              <w:bottom w:val="single" w:sz="4" w:space="0" w:color="auto"/>
              <w:right w:val="single" w:sz="4" w:space="0" w:color="auto"/>
            </w:tcBorders>
            <w:noWrap/>
            <w:vAlign w:val="bottom"/>
            <w:hideMark/>
          </w:tcPr>
          <w:p w14:paraId="6A33801A"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Billing (Pricing and Charges)</w:t>
            </w:r>
          </w:p>
        </w:tc>
        <w:tc>
          <w:tcPr>
            <w:tcW w:w="1409" w:type="pct"/>
            <w:tcBorders>
              <w:top w:val="single" w:sz="4" w:space="0" w:color="auto"/>
              <w:left w:val="nil"/>
              <w:bottom w:val="single" w:sz="4" w:space="0" w:color="auto"/>
              <w:right w:val="single" w:sz="4" w:space="0" w:color="auto"/>
            </w:tcBorders>
            <w:noWrap/>
            <w:vAlign w:val="bottom"/>
            <w:hideMark/>
          </w:tcPr>
          <w:p w14:paraId="54C64354"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 </w:t>
            </w:r>
          </w:p>
        </w:tc>
        <w:tc>
          <w:tcPr>
            <w:tcW w:w="634" w:type="pct"/>
            <w:tcBorders>
              <w:top w:val="single" w:sz="4" w:space="0" w:color="auto"/>
              <w:left w:val="nil"/>
              <w:bottom w:val="single" w:sz="4" w:space="0" w:color="auto"/>
              <w:right w:val="single" w:sz="4" w:space="0" w:color="auto"/>
            </w:tcBorders>
            <w:noWrap/>
            <w:vAlign w:val="bottom"/>
            <w:hideMark/>
          </w:tcPr>
          <w:p w14:paraId="5511DE35"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1</w:t>
            </w:r>
          </w:p>
        </w:tc>
        <w:tc>
          <w:tcPr>
            <w:tcW w:w="633" w:type="pct"/>
            <w:tcBorders>
              <w:top w:val="single" w:sz="4" w:space="0" w:color="auto"/>
              <w:left w:val="nil"/>
              <w:bottom w:val="single" w:sz="4" w:space="0" w:color="auto"/>
              <w:right w:val="single" w:sz="4" w:space="0" w:color="auto"/>
            </w:tcBorders>
            <w:noWrap/>
            <w:vAlign w:val="bottom"/>
            <w:hideMark/>
          </w:tcPr>
          <w:p w14:paraId="2986784A"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1</w:t>
            </w:r>
          </w:p>
        </w:tc>
        <w:tc>
          <w:tcPr>
            <w:tcW w:w="493" w:type="pct"/>
            <w:tcBorders>
              <w:top w:val="single" w:sz="4" w:space="0" w:color="auto"/>
              <w:left w:val="nil"/>
              <w:bottom w:val="single" w:sz="4" w:space="0" w:color="auto"/>
              <w:right w:val="single" w:sz="4" w:space="0" w:color="auto"/>
            </w:tcBorders>
            <w:noWrap/>
            <w:vAlign w:val="bottom"/>
            <w:hideMark/>
          </w:tcPr>
          <w:p w14:paraId="26C16AFA"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0</w:t>
            </w:r>
          </w:p>
        </w:tc>
      </w:tr>
      <w:tr w:rsidR="00842A15" w:rsidRPr="00291BF0" w14:paraId="405E7B09" w14:textId="77777777" w:rsidTr="26B34547">
        <w:trPr>
          <w:trHeight w:val="252"/>
        </w:trPr>
        <w:tc>
          <w:tcPr>
            <w:tcW w:w="988" w:type="pct"/>
            <w:tcBorders>
              <w:top w:val="nil"/>
              <w:left w:val="single" w:sz="4" w:space="0" w:color="auto"/>
              <w:bottom w:val="single" w:sz="4" w:space="0" w:color="auto"/>
              <w:right w:val="single" w:sz="4" w:space="0" w:color="auto"/>
            </w:tcBorders>
            <w:noWrap/>
            <w:vAlign w:val="bottom"/>
            <w:hideMark/>
          </w:tcPr>
          <w:p w14:paraId="418E4489"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 </w:t>
            </w:r>
          </w:p>
        </w:tc>
        <w:tc>
          <w:tcPr>
            <w:tcW w:w="844" w:type="pct"/>
            <w:tcBorders>
              <w:top w:val="nil"/>
              <w:left w:val="nil"/>
              <w:bottom w:val="single" w:sz="4" w:space="0" w:color="auto"/>
              <w:right w:val="single" w:sz="4" w:space="0" w:color="auto"/>
            </w:tcBorders>
            <w:noWrap/>
            <w:vAlign w:val="center"/>
            <w:hideMark/>
          </w:tcPr>
          <w:p w14:paraId="09E80EB8"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Unlicensed Courier Operator</w:t>
            </w:r>
          </w:p>
        </w:tc>
        <w:tc>
          <w:tcPr>
            <w:tcW w:w="1409" w:type="pct"/>
            <w:tcBorders>
              <w:top w:val="single" w:sz="4" w:space="0" w:color="auto"/>
              <w:left w:val="nil"/>
              <w:bottom w:val="single" w:sz="4" w:space="0" w:color="auto"/>
              <w:right w:val="single" w:sz="4" w:space="0" w:color="auto"/>
            </w:tcBorders>
            <w:noWrap/>
            <w:vAlign w:val="bottom"/>
            <w:hideMark/>
          </w:tcPr>
          <w:p w14:paraId="26895F3E"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 </w:t>
            </w:r>
          </w:p>
        </w:tc>
        <w:tc>
          <w:tcPr>
            <w:tcW w:w="634" w:type="pct"/>
            <w:tcBorders>
              <w:top w:val="single" w:sz="4" w:space="0" w:color="auto"/>
              <w:left w:val="nil"/>
              <w:bottom w:val="single" w:sz="4" w:space="0" w:color="auto"/>
              <w:right w:val="nil"/>
            </w:tcBorders>
            <w:noWrap/>
            <w:vAlign w:val="bottom"/>
            <w:hideMark/>
          </w:tcPr>
          <w:p w14:paraId="7F17A26A"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p>
        </w:tc>
        <w:tc>
          <w:tcPr>
            <w:tcW w:w="633" w:type="pct"/>
            <w:tcBorders>
              <w:top w:val="single" w:sz="4" w:space="0" w:color="auto"/>
              <w:left w:val="single" w:sz="4" w:space="0" w:color="auto"/>
              <w:bottom w:val="single" w:sz="4" w:space="0" w:color="auto"/>
              <w:right w:val="single" w:sz="4" w:space="0" w:color="auto"/>
            </w:tcBorders>
            <w:noWrap/>
            <w:vAlign w:val="bottom"/>
            <w:hideMark/>
          </w:tcPr>
          <w:p w14:paraId="48BEB4FE"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 </w:t>
            </w:r>
          </w:p>
        </w:tc>
        <w:tc>
          <w:tcPr>
            <w:tcW w:w="493" w:type="pct"/>
            <w:tcBorders>
              <w:top w:val="single" w:sz="4" w:space="0" w:color="auto"/>
              <w:left w:val="nil"/>
              <w:bottom w:val="single" w:sz="4" w:space="0" w:color="auto"/>
              <w:right w:val="single" w:sz="4" w:space="0" w:color="auto"/>
            </w:tcBorders>
            <w:noWrap/>
            <w:vAlign w:val="bottom"/>
            <w:hideMark/>
          </w:tcPr>
          <w:p w14:paraId="5732511C"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 </w:t>
            </w:r>
          </w:p>
        </w:tc>
      </w:tr>
      <w:tr w:rsidR="00842A15" w:rsidRPr="00291BF0" w14:paraId="302F4494" w14:textId="77777777" w:rsidTr="26B34547">
        <w:trPr>
          <w:trHeight w:val="252"/>
        </w:trPr>
        <w:tc>
          <w:tcPr>
            <w:tcW w:w="988" w:type="pct"/>
            <w:tcBorders>
              <w:top w:val="nil"/>
              <w:left w:val="single" w:sz="4" w:space="0" w:color="auto"/>
              <w:bottom w:val="single" w:sz="4" w:space="0" w:color="auto"/>
              <w:right w:val="single" w:sz="4" w:space="0" w:color="auto"/>
            </w:tcBorders>
            <w:noWrap/>
            <w:vAlign w:val="bottom"/>
            <w:hideMark/>
          </w:tcPr>
          <w:p w14:paraId="03A2D646"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Cyber Crime/Criminal use of ICT Infrastructure</w:t>
            </w:r>
          </w:p>
        </w:tc>
        <w:tc>
          <w:tcPr>
            <w:tcW w:w="844" w:type="pct"/>
            <w:tcBorders>
              <w:top w:val="nil"/>
              <w:left w:val="nil"/>
              <w:bottom w:val="single" w:sz="4" w:space="0" w:color="auto"/>
              <w:right w:val="single" w:sz="4" w:space="0" w:color="auto"/>
            </w:tcBorders>
            <w:noWrap/>
            <w:vAlign w:val="bottom"/>
            <w:hideMark/>
          </w:tcPr>
          <w:p w14:paraId="1902F248"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 </w:t>
            </w:r>
          </w:p>
        </w:tc>
        <w:tc>
          <w:tcPr>
            <w:tcW w:w="1409" w:type="pct"/>
            <w:tcBorders>
              <w:top w:val="single" w:sz="4" w:space="0" w:color="auto"/>
              <w:left w:val="nil"/>
              <w:bottom w:val="single" w:sz="4" w:space="0" w:color="auto"/>
              <w:right w:val="single" w:sz="4" w:space="0" w:color="auto"/>
            </w:tcBorders>
            <w:noWrap/>
            <w:vAlign w:val="bottom"/>
            <w:hideMark/>
          </w:tcPr>
          <w:p w14:paraId="21156623"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 </w:t>
            </w:r>
          </w:p>
        </w:tc>
        <w:tc>
          <w:tcPr>
            <w:tcW w:w="634" w:type="pct"/>
            <w:tcBorders>
              <w:top w:val="single" w:sz="4" w:space="0" w:color="auto"/>
              <w:left w:val="nil"/>
              <w:bottom w:val="single" w:sz="4" w:space="0" w:color="auto"/>
              <w:right w:val="single" w:sz="4" w:space="0" w:color="auto"/>
            </w:tcBorders>
            <w:noWrap/>
            <w:vAlign w:val="bottom"/>
            <w:hideMark/>
          </w:tcPr>
          <w:p w14:paraId="4CFC061C" w14:textId="77777777" w:rsidR="00842A15" w:rsidRPr="00291BF0" w:rsidRDefault="00842A15" w:rsidP="00240F9B">
            <w:pPr>
              <w:widowControl/>
              <w:autoSpaceDE/>
              <w:autoSpaceDN/>
              <w:spacing w:before="100" w:beforeAutospacing="1" w:after="100" w:afterAutospacing="1" w:line="276" w:lineRule="auto"/>
              <w:jc w:val="both"/>
              <w:rPr>
                <w:b/>
                <w:bCs/>
                <w:color w:val="000000"/>
                <w:sz w:val="20"/>
                <w:szCs w:val="20"/>
                <w:lang w:eastAsia="en-GB"/>
              </w:rPr>
            </w:pPr>
            <w:r w:rsidRPr="00291BF0">
              <w:rPr>
                <w:b/>
                <w:bCs/>
                <w:color w:val="000000"/>
                <w:sz w:val="20"/>
                <w:szCs w:val="20"/>
                <w:lang w:eastAsia="en-GB"/>
              </w:rPr>
              <w:t>75</w:t>
            </w:r>
          </w:p>
        </w:tc>
        <w:tc>
          <w:tcPr>
            <w:tcW w:w="633" w:type="pct"/>
            <w:tcBorders>
              <w:top w:val="single" w:sz="4" w:space="0" w:color="auto"/>
              <w:left w:val="nil"/>
              <w:bottom w:val="single" w:sz="4" w:space="0" w:color="auto"/>
              <w:right w:val="single" w:sz="4" w:space="0" w:color="auto"/>
            </w:tcBorders>
            <w:noWrap/>
            <w:vAlign w:val="bottom"/>
            <w:hideMark/>
          </w:tcPr>
          <w:p w14:paraId="7B833F41" w14:textId="77777777" w:rsidR="00842A15" w:rsidRPr="00291BF0" w:rsidRDefault="00842A15" w:rsidP="00240F9B">
            <w:pPr>
              <w:widowControl/>
              <w:autoSpaceDE/>
              <w:autoSpaceDN/>
              <w:spacing w:before="100" w:beforeAutospacing="1" w:after="100" w:afterAutospacing="1" w:line="276" w:lineRule="auto"/>
              <w:jc w:val="both"/>
              <w:rPr>
                <w:b/>
                <w:bCs/>
                <w:color w:val="000000"/>
                <w:sz w:val="20"/>
                <w:szCs w:val="20"/>
                <w:lang w:eastAsia="en-GB"/>
              </w:rPr>
            </w:pPr>
            <w:r w:rsidRPr="00291BF0">
              <w:rPr>
                <w:b/>
                <w:bCs/>
                <w:color w:val="000000"/>
                <w:sz w:val="20"/>
                <w:szCs w:val="20"/>
                <w:lang w:eastAsia="en-GB"/>
              </w:rPr>
              <w:t>69</w:t>
            </w:r>
          </w:p>
        </w:tc>
        <w:tc>
          <w:tcPr>
            <w:tcW w:w="493" w:type="pct"/>
            <w:tcBorders>
              <w:top w:val="single" w:sz="4" w:space="0" w:color="auto"/>
              <w:left w:val="nil"/>
              <w:bottom w:val="single" w:sz="4" w:space="0" w:color="auto"/>
              <w:right w:val="single" w:sz="4" w:space="0" w:color="auto"/>
            </w:tcBorders>
            <w:noWrap/>
            <w:vAlign w:val="bottom"/>
            <w:hideMark/>
          </w:tcPr>
          <w:p w14:paraId="751E8DB5" w14:textId="77777777" w:rsidR="00842A15" w:rsidRPr="00291BF0" w:rsidRDefault="00842A15" w:rsidP="00240F9B">
            <w:pPr>
              <w:widowControl/>
              <w:autoSpaceDE/>
              <w:autoSpaceDN/>
              <w:spacing w:before="100" w:beforeAutospacing="1" w:after="100" w:afterAutospacing="1" w:line="276" w:lineRule="auto"/>
              <w:jc w:val="both"/>
              <w:rPr>
                <w:b/>
                <w:bCs/>
                <w:color w:val="000000"/>
                <w:sz w:val="20"/>
                <w:szCs w:val="20"/>
                <w:lang w:eastAsia="en-GB"/>
              </w:rPr>
            </w:pPr>
            <w:r w:rsidRPr="00291BF0">
              <w:rPr>
                <w:b/>
                <w:bCs/>
                <w:color w:val="000000"/>
                <w:sz w:val="20"/>
                <w:szCs w:val="20"/>
                <w:lang w:eastAsia="en-GB"/>
              </w:rPr>
              <w:t>6</w:t>
            </w:r>
          </w:p>
        </w:tc>
      </w:tr>
      <w:tr w:rsidR="00842A15" w:rsidRPr="00291BF0" w14:paraId="5C331993" w14:textId="77777777" w:rsidTr="26B34547">
        <w:trPr>
          <w:trHeight w:val="252"/>
        </w:trPr>
        <w:tc>
          <w:tcPr>
            <w:tcW w:w="988" w:type="pct"/>
            <w:tcBorders>
              <w:top w:val="nil"/>
              <w:left w:val="single" w:sz="4" w:space="0" w:color="auto"/>
              <w:bottom w:val="single" w:sz="4" w:space="0" w:color="auto"/>
              <w:right w:val="single" w:sz="4" w:space="0" w:color="auto"/>
            </w:tcBorders>
            <w:noWrap/>
            <w:vAlign w:val="bottom"/>
            <w:hideMark/>
          </w:tcPr>
          <w:p w14:paraId="2066A3EE"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 </w:t>
            </w:r>
          </w:p>
        </w:tc>
        <w:tc>
          <w:tcPr>
            <w:tcW w:w="844" w:type="pct"/>
            <w:tcBorders>
              <w:top w:val="nil"/>
              <w:left w:val="nil"/>
              <w:bottom w:val="single" w:sz="4" w:space="0" w:color="auto"/>
              <w:right w:val="single" w:sz="4" w:space="0" w:color="auto"/>
            </w:tcBorders>
            <w:noWrap/>
            <w:vAlign w:val="center"/>
            <w:hideMark/>
          </w:tcPr>
          <w:p w14:paraId="1CABA3DA"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System misconfiguration</w:t>
            </w:r>
          </w:p>
        </w:tc>
        <w:tc>
          <w:tcPr>
            <w:tcW w:w="1409" w:type="pct"/>
            <w:tcBorders>
              <w:top w:val="single" w:sz="4" w:space="0" w:color="auto"/>
              <w:left w:val="nil"/>
              <w:bottom w:val="single" w:sz="4" w:space="0" w:color="auto"/>
              <w:right w:val="single" w:sz="4" w:space="0" w:color="auto"/>
            </w:tcBorders>
            <w:noWrap/>
            <w:vAlign w:val="bottom"/>
            <w:hideMark/>
          </w:tcPr>
          <w:p w14:paraId="7FB9931F"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 </w:t>
            </w:r>
          </w:p>
        </w:tc>
        <w:tc>
          <w:tcPr>
            <w:tcW w:w="634" w:type="pct"/>
            <w:tcBorders>
              <w:top w:val="single" w:sz="4" w:space="0" w:color="auto"/>
              <w:left w:val="nil"/>
              <w:bottom w:val="single" w:sz="4" w:space="0" w:color="auto"/>
              <w:right w:val="single" w:sz="4" w:space="0" w:color="auto"/>
            </w:tcBorders>
            <w:noWrap/>
            <w:vAlign w:val="bottom"/>
            <w:hideMark/>
          </w:tcPr>
          <w:p w14:paraId="0D4DFD8F"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 </w:t>
            </w:r>
          </w:p>
        </w:tc>
        <w:tc>
          <w:tcPr>
            <w:tcW w:w="633" w:type="pct"/>
            <w:tcBorders>
              <w:top w:val="single" w:sz="4" w:space="0" w:color="auto"/>
              <w:left w:val="nil"/>
              <w:bottom w:val="single" w:sz="4" w:space="0" w:color="auto"/>
              <w:right w:val="single" w:sz="4" w:space="0" w:color="auto"/>
            </w:tcBorders>
            <w:noWrap/>
            <w:vAlign w:val="bottom"/>
            <w:hideMark/>
          </w:tcPr>
          <w:p w14:paraId="0404FCA4"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 </w:t>
            </w:r>
          </w:p>
        </w:tc>
        <w:tc>
          <w:tcPr>
            <w:tcW w:w="493" w:type="pct"/>
            <w:tcBorders>
              <w:top w:val="single" w:sz="4" w:space="0" w:color="auto"/>
              <w:left w:val="nil"/>
              <w:bottom w:val="single" w:sz="4" w:space="0" w:color="auto"/>
              <w:right w:val="single" w:sz="4" w:space="0" w:color="auto"/>
            </w:tcBorders>
            <w:noWrap/>
            <w:vAlign w:val="bottom"/>
            <w:hideMark/>
          </w:tcPr>
          <w:p w14:paraId="4E5CE111"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 </w:t>
            </w:r>
          </w:p>
        </w:tc>
      </w:tr>
      <w:tr w:rsidR="00842A15" w:rsidRPr="00291BF0" w14:paraId="69A8C4EC" w14:textId="77777777" w:rsidTr="26B34547">
        <w:trPr>
          <w:trHeight w:val="252"/>
        </w:trPr>
        <w:tc>
          <w:tcPr>
            <w:tcW w:w="988" w:type="pct"/>
            <w:tcBorders>
              <w:top w:val="nil"/>
              <w:left w:val="single" w:sz="4" w:space="0" w:color="auto"/>
              <w:bottom w:val="single" w:sz="4" w:space="0" w:color="auto"/>
              <w:right w:val="single" w:sz="4" w:space="0" w:color="auto"/>
            </w:tcBorders>
            <w:noWrap/>
            <w:vAlign w:val="bottom"/>
            <w:hideMark/>
          </w:tcPr>
          <w:p w14:paraId="2F68F26C"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 </w:t>
            </w:r>
          </w:p>
        </w:tc>
        <w:tc>
          <w:tcPr>
            <w:tcW w:w="844" w:type="pct"/>
            <w:tcBorders>
              <w:top w:val="nil"/>
              <w:left w:val="nil"/>
              <w:bottom w:val="single" w:sz="4" w:space="0" w:color="auto"/>
              <w:right w:val="single" w:sz="4" w:space="0" w:color="auto"/>
            </w:tcBorders>
            <w:noWrap/>
            <w:vAlign w:val="bottom"/>
            <w:hideMark/>
          </w:tcPr>
          <w:p w14:paraId="6828E0CA"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Online Abuse</w:t>
            </w:r>
          </w:p>
        </w:tc>
        <w:tc>
          <w:tcPr>
            <w:tcW w:w="1409" w:type="pct"/>
            <w:tcBorders>
              <w:top w:val="single" w:sz="4" w:space="0" w:color="auto"/>
              <w:left w:val="nil"/>
              <w:bottom w:val="single" w:sz="4" w:space="0" w:color="auto"/>
              <w:right w:val="single" w:sz="4" w:space="0" w:color="auto"/>
            </w:tcBorders>
            <w:noWrap/>
            <w:vAlign w:val="bottom"/>
            <w:hideMark/>
          </w:tcPr>
          <w:p w14:paraId="03449122"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 </w:t>
            </w:r>
          </w:p>
        </w:tc>
        <w:tc>
          <w:tcPr>
            <w:tcW w:w="634" w:type="pct"/>
            <w:tcBorders>
              <w:top w:val="single" w:sz="4" w:space="0" w:color="auto"/>
              <w:left w:val="nil"/>
              <w:bottom w:val="single" w:sz="4" w:space="0" w:color="auto"/>
              <w:right w:val="single" w:sz="4" w:space="0" w:color="auto"/>
            </w:tcBorders>
            <w:noWrap/>
            <w:vAlign w:val="bottom"/>
            <w:hideMark/>
          </w:tcPr>
          <w:p w14:paraId="78808078"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13</w:t>
            </w:r>
          </w:p>
        </w:tc>
        <w:tc>
          <w:tcPr>
            <w:tcW w:w="633" w:type="pct"/>
            <w:tcBorders>
              <w:top w:val="single" w:sz="4" w:space="0" w:color="auto"/>
              <w:left w:val="nil"/>
              <w:bottom w:val="single" w:sz="4" w:space="0" w:color="auto"/>
              <w:right w:val="single" w:sz="4" w:space="0" w:color="auto"/>
            </w:tcBorders>
            <w:noWrap/>
            <w:vAlign w:val="bottom"/>
            <w:hideMark/>
          </w:tcPr>
          <w:p w14:paraId="74CD617F"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13</w:t>
            </w:r>
          </w:p>
        </w:tc>
        <w:tc>
          <w:tcPr>
            <w:tcW w:w="493" w:type="pct"/>
            <w:tcBorders>
              <w:top w:val="single" w:sz="4" w:space="0" w:color="auto"/>
              <w:left w:val="nil"/>
              <w:bottom w:val="single" w:sz="4" w:space="0" w:color="auto"/>
              <w:right w:val="single" w:sz="4" w:space="0" w:color="auto"/>
            </w:tcBorders>
            <w:noWrap/>
            <w:vAlign w:val="bottom"/>
            <w:hideMark/>
          </w:tcPr>
          <w:p w14:paraId="0622371B"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0</w:t>
            </w:r>
          </w:p>
        </w:tc>
      </w:tr>
      <w:tr w:rsidR="00842A15" w:rsidRPr="00291BF0" w14:paraId="11E85FC6" w14:textId="77777777" w:rsidTr="26B34547">
        <w:trPr>
          <w:trHeight w:val="252"/>
        </w:trPr>
        <w:tc>
          <w:tcPr>
            <w:tcW w:w="988" w:type="pct"/>
            <w:tcBorders>
              <w:top w:val="nil"/>
              <w:left w:val="single" w:sz="4" w:space="0" w:color="auto"/>
              <w:bottom w:val="single" w:sz="4" w:space="0" w:color="auto"/>
              <w:right w:val="single" w:sz="4" w:space="0" w:color="auto"/>
            </w:tcBorders>
            <w:noWrap/>
            <w:vAlign w:val="bottom"/>
            <w:hideMark/>
          </w:tcPr>
          <w:p w14:paraId="0A9781D5"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 </w:t>
            </w:r>
          </w:p>
        </w:tc>
        <w:tc>
          <w:tcPr>
            <w:tcW w:w="844" w:type="pct"/>
            <w:tcBorders>
              <w:top w:val="nil"/>
              <w:left w:val="nil"/>
              <w:bottom w:val="single" w:sz="4" w:space="0" w:color="auto"/>
              <w:right w:val="single" w:sz="4" w:space="0" w:color="auto"/>
            </w:tcBorders>
            <w:noWrap/>
            <w:vAlign w:val="center"/>
            <w:hideMark/>
          </w:tcPr>
          <w:p w14:paraId="715C71A9"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Minor/Child Abuse</w:t>
            </w:r>
          </w:p>
        </w:tc>
        <w:tc>
          <w:tcPr>
            <w:tcW w:w="1409" w:type="pct"/>
            <w:tcBorders>
              <w:top w:val="single" w:sz="4" w:space="0" w:color="auto"/>
              <w:left w:val="nil"/>
              <w:bottom w:val="single" w:sz="4" w:space="0" w:color="auto"/>
              <w:right w:val="single" w:sz="4" w:space="0" w:color="auto"/>
            </w:tcBorders>
            <w:noWrap/>
            <w:vAlign w:val="bottom"/>
            <w:hideMark/>
          </w:tcPr>
          <w:p w14:paraId="028163D3"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 </w:t>
            </w:r>
          </w:p>
        </w:tc>
        <w:tc>
          <w:tcPr>
            <w:tcW w:w="634" w:type="pct"/>
            <w:tcBorders>
              <w:top w:val="single" w:sz="4" w:space="0" w:color="auto"/>
              <w:left w:val="nil"/>
              <w:bottom w:val="single" w:sz="4" w:space="0" w:color="auto"/>
              <w:right w:val="single" w:sz="4" w:space="0" w:color="auto"/>
            </w:tcBorders>
            <w:noWrap/>
            <w:vAlign w:val="bottom"/>
            <w:hideMark/>
          </w:tcPr>
          <w:p w14:paraId="38DF39B2"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 0</w:t>
            </w:r>
          </w:p>
        </w:tc>
        <w:tc>
          <w:tcPr>
            <w:tcW w:w="633" w:type="pct"/>
            <w:tcBorders>
              <w:top w:val="single" w:sz="4" w:space="0" w:color="auto"/>
              <w:left w:val="nil"/>
              <w:bottom w:val="single" w:sz="4" w:space="0" w:color="auto"/>
              <w:right w:val="single" w:sz="4" w:space="0" w:color="auto"/>
            </w:tcBorders>
            <w:noWrap/>
            <w:vAlign w:val="bottom"/>
            <w:hideMark/>
          </w:tcPr>
          <w:p w14:paraId="66B5234D"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 0</w:t>
            </w:r>
          </w:p>
        </w:tc>
        <w:tc>
          <w:tcPr>
            <w:tcW w:w="493" w:type="pct"/>
            <w:tcBorders>
              <w:top w:val="single" w:sz="4" w:space="0" w:color="auto"/>
              <w:left w:val="nil"/>
              <w:bottom w:val="single" w:sz="4" w:space="0" w:color="auto"/>
              <w:right w:val="single" w:sz="4" w:space="0" w:color="auto"/>
            </w:tcBorders>
            <w:noWrap/>
            <w:vAlign w:val="bottom"/>
            <w:hideMark/>
          </w:tcPr>
          <w:p w14:paraId="4E18364F"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 0</w:t>
            </w:r>
          </w:p>
        </w:tc>
      </w:tr>
      <w:tr w:rsidR="00842A15" w:rsidRPr="00291BF0" w14:paraId="5150910B" w14:textId="77777777" w:rsidTr="26B34547">
        <w:trPr>
          <w:trHeight w:val="252"/>
        </w:trPr>
        <w:tc>
          <w:tcPr>
            <w:tcW w:w="988" w:type="pct"/>
            <w:tcBorders>
              <w:top w:val="nil"/>
              <w:left w:val="single" w:sz="4" w:space="0" w:color="auto"/>
              <w:bottom w:val="single" w:sz="4" w:space="0" w:color="auto"/>
              <w:right w:val="single" w:sz="4" w:space="0" w:color="auto"/>
            </w:tcBorders>
            <w:noWrap/>
            <w:vAlign w:val="bottom"/>
            <w:hideMark/>
          </w:tcPr>
          <w:p w14:paraId="1AAEF810"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 </w:t>
            </w:r>
          </w:p>
        </w:tc>
        <w:tc>
          <w:tcPr>
            <w:tcW w:w="844" w:type="pct"/>
            <w:tcBorders>
              <w:top w:val="nil"/>
              <w:left w:val="nil"/>
              <w:bottom w:val="single" w:sz="4" w:space="0" w:color="auto"/>
              <w:right w:val="single" w:sz="4" w:space="0" w:color="auto"/>
            </w:tcBorders>
            <w:noWrap/>
            <w:vAlign w:val="bottom"/>
            <w:hideMark/>
          </w:tcPr>
          <w:p w14:paraId="456F3C14"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Social media</w:t>
            </w:r>
          </w:p>
        </w:tc>
        <w:tc>
          <w:tcPr>
            <w:tcW w:w="1409" w:type="pct"/>
            <w:tcBorders>
              <w:top w:val="single" w:sz="4" w:space="0" w:color="auto"/>
              <w:left w:val="nil"/>
              <w:bottom w:val="single" w:sz="4" w:space="0" w:color="auto"/>
              <w:right w:val="single" w:sz="4" w:space="0" w:color="auto"/>
            </w:tcBorders>
            <w:noWrap/>
            <w:vAlign w:val="bottom"/>
            <w:hideMark/>
          </w:tcPr>
          <w:p w14:paraId="5760A2EE"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 </w:t>
            </w:r>
          </w:p>
        </w:tc>
        <w:tc>
          <w:tcPr>
            <w:tcW w:w="634" w:type="pct"/>
            <w:tcBorders>
              <w:top w:val="single" w:sz="4" w:space="0" w:color="auto"/>
              <w:left w:val="nil"/>
              <w:bottom w:val="single" w:sz="4" w:space="0" w:color="auto"/>
              <w:right w:val="single" w:sz="4" w:space="0" w:color="auto"/>
            </w:tcBorders>
            <w:noWrap/>
            <w:vAlign w:val="bottom"/>
            <w:hideMark/>
          </w:tcPr>
          <w:p w14:paraId="3157723B"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43</w:t>
            </w:r>
          </w:p>
        </w:tc>
        <w:tc>
          <w:tcPr>
            <w:tcW w:w="633" w:type="pct"/>
            <w:tcBorders>
              <w:top w:val="single" w:sz="4" w:space="0" w:color="auto"/>
              <w:left w:val="nil"/>
              <w:bottom w:val="single" w:sz="4" w:space="0" w:color="auto"/>
              <w:right w:val="single" w:sz="4" w:space="0" w:color="auto"/>
            </w:tcBorders>
            <w:noWrap/>
            <w:vAlign w:val="bottom"/>
            <w:hideMark/>
          </w:tcPr>
          <w:p w14:paraId="02C61F3F"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41</w:t>
            </w:r>
          </w:p>
        </w:tc>
        <w:tc>
          <w:tcPr>
            <w:tcW w:w="493" w:type="pct"/>
            <w:tcBorders>
              <w:top w:val="single" w:sz="4" w:space="0" w:color="auto"/>
              <w:left w:val="nil"/>
              <w:bottom w:val="single" w:sz="4" w:space="0" w:color="auto"/>
              <w:right w:val="single" w:sz="4" w:space="0" w:color="auto"/>
            </w:tcBorders>
            <w:noWrap/>
            <w:vAlign w:val="bottom"/>
            <w:hideMark/>
          </w:tcPr>
          <w:p w14:paraId="05A97740"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2</w:t>
            </w:r>
          </w:p>
        </w:tc>
      </w:tr>
      <w:tr w:rsidR="00842A15" w:rsidRPr="00291BF0" w14:paraId="2EF2EBCF" w14:textId="77777777" w:rsidTr="26B34547">
        <w:trPr>
          <w:trHeight w:val="252"/>
        </w:trPr>
        <w:tc>
          <w:tcPr>
            <w:tcW w:w="988" w:type="pct"/>
            <w:tcBorders>
              <w:top w:val="nil"/>
              <w:left w:val="single" w:sz="4" w:space="0" w:color="auto"/>
              <w:bottom w:val="single" w:sz="4" w:space="0" w:color="auto"/>
              <w:right w:val="single" w:sz="4" w:space="0" w:color="auto"/>
            </w:tcBorders>
            <w:noWrap/>
            <w:vAlign w:val="bottom"/>
            <w:hideMark/>
          </w:tcPr>
          <w:p w14:paraId="1AD925B7"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 </w:t>
            </w:r>
          </w:p>
        </w:tc>
        <w:tc>
          <w:tcPr>
            <w:tcW w:w="844" w:type="pct"/>
            <w:tcBorders>
              <w:top w:val="nil"/>
              <w:left w:val="nil"/>
              <w:bottom w:val="single" w:sz="4" w:space="0" w:color="auto"/>
              <w:right w:val="single" w:sz="4" w:space="0" w:color="auto"/>
            </w:tcBorders>
            <w:noWrap/>
            <w:vAlign w:val="bottom"/>
            <w:hideMark/>
          </w:tcPr>
          <w:p w14:paraId="17889DB2"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Vulnerability exploitation</w:t>
            </w:r>
          </w:p>
        </w:tc>
        <w:tc>
          <w:tcPr>
            <w:tcW w:w="1409" w:type="pct"/>
            <w:tcBorders>
              <w:top w:val="single" w:sz="4" w:space="0" w:color="auto"/>
              <w:left w:val="nil"/>
              <w:bottom w:val="single" w:sz="4" w:space="0" w:color="auto"/>
              <w:right w:val="single" w:sz="4" w:space="0" w:color="auto"/>
            </w:tcBorders>
            <w:noWrap/>
            <w:vAlign w:val="bottom"/>
            <w:hideMark/>
          </w:tcPr>
          <w:p w14:paraId="6F1682B0"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 </w:t>
            </w:r>
          </w:p>
        </w:tc>
        <w:tc>
          <w:tcPr>
            <w:tcW w:w="634" w:type="pct"/>
            <w:tcBorders>
              <w:top w:val="single" w:sz="4" w:space="0" w:color="auto"/>
              <w:left w:val="nil"/>
              <w:bottom w:val="single" w:sz="4" w:space="0" w:color="auto"/>
              <w:right w:val="single" w:sz="4" w:space="0" w:color="auto"/>
            </w:tcBorders>
            <w:noWrap/>
            <w:vAlign w:val="bottom"/>
            <w:hideMark/>
          </w:tcPr>
          <w:p w14:paraId="4DA08FA6"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0 </w:t>
            </w:r>
          </w:p>
        </w:tc>
        <w:tc>
          <w:tcPr>
            <w:tcW w:w="633" w:type="pct"/>
            <w:tcBorders>
              <w:top w:val="single" w:sz="4" w:space="0" w:color="auto"/>
              <w:left w:val="nil"/>
              <w:bottom w:val="single" w:sz="4" w:space="0" w:color="auto"/>
              <w:right w:val="single" w:sz="4" w:space="0" w:color="auto"/>
            </w:tcBorders>
            <w:noWrap/>
            <w:vAlign w:val="bottom"/>
            <w:hideMark/>
          </w:tcPr>
          <w:p w14:paraId="23B3BAEF"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0 </w:t>
            </w:r>
          </w:p>
        </w:tc>
        <w:tc>
          <w:tcPr>
            <w:tcW w:w="493" w:type="pct"/>
            <w:tcBorders>
              <w:top w:val="single" w:sz="4" w:space="0" w:color="auto"/>
              <w:left w:val="nil"/>
              <w:bottom w:val="single" w:sz="4" w:space="0" w:color="auto"/>
              <w:right w:val="single" w:sz="4" w:space="0" w:color="auto"/>
            </w:tcBorders>
            <w:noWrap/>
            <w:vAlign w:val="bottom"/>
            <w:hideMark/>
          </w:tcPr>
          <w:p w14:paraId="41171E51"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0 </w:t>
            </w:r>
          </w:p>
        </w:tc>
      </w:tr>
      <w:tr w:rsidR="00842A15" w:rsidRPr="00291BF0" w14:paraId="0940391D" w14:textId="77777777" w:rsidTr="26B34547">
        <w:trPr>
          <w:trHeight w:val="252"/>
        </w:trPr>
        <w:tc>
          <w:tcPr>
            <w:tcW w:w="988" w:type="pct"/>
            <w:tcBorders>
              <w:top w:val="nil"/>
              <w:left w:val="single" w:sz="4" w:space="0" w:color="auto"/>
              <w:bottom w:val="single" w:sz="4" w:space="0" w:color="auto"/>
              <w:right w:val="single" w:sz="4" w:space="0" w:color="auto"/>
            </w:tcBorders>
            <w:noWrap/>
            <w:vAlign w:val="bottom"/>
            <w:hideMark/>
          </w:tcPr>
          <w:p w14:paraId="384D2AA2"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 </w:t>
            </w:r>
          </w:p>
        </w:tc>
        <w:tc>
          <w:tcPr>
            <w:tcW w:w="844" w:type="pct"/>
            <w:tcBorders>
              <w:top w:val="nil"/>
              <w:left w:val="nil"/>
              <w:bottom w:val="single" w:sz="4" w:space="0" w:color="auto"/>
              <w:right w:val="single" w:sz="4" w:space="0" w:color="auto"/>
            </w:tcBorders>
            <w:noWrap/>
            <w:vAlign w:val="bottom"/>
            <w:hideMark/>
          </w:tcPr>
          <w:p w14:paraId="036958CE"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Data Breach</w:t>
            </w:r>
          </w:p>
        </w:tc>
        <w:tc>
          <w:tcPr>
            <w:tcW w:w="1409" w:type="pct"/>
            <w:tcBorders>
              <w:top w:val="single" w:sz="4" w:space="0" w:color="auto"/>
              <w:left w:val="nil"/>
              <w:bottom w:val="single" w:sz="4" w:space="0" w:color="auto"/>
              <w:right w:val="single" w:sz="4" w:space="0" w:color="auto"/>
            </w:tcBorders>
            <w:noWrap/>
            <w:vAlign w:val="bottom"/>
            <w:hideMark/>
          </w:tcPr>
          <w:p w14:paraId="7B80830A"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 </w:t>
            </w:r>
          </w:p>
        </w:tc>
        <w:tc>
          <w:tcPr>
            <w:tcW w:w="634" w:type="pct"/>
            <w:tcBorders>
              <w:top w:val="single" w:sz="4" w:space="0" w:color="auto"/>
              <w:left w:val="nil"/>
              <w:bottom w:val="single" w:sz="4" w:space="0" w:color="auto"/>
              <w:right w:val="single" w:sz="4" w:space="0" w:color="auto"/>
            </w:tcBorders>
            <w:noWrap/>
            <w:vAlign w:val="bottom"/>
            <w:hideMark/>
          </w:tcPr>
          <w:p w14:paraId="0C301D48"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19</w:t>
            </w:r>
          </w:p>
        </w:tc>
        <w:tc>
          <w:tcPr>
            <w:tcW w:w="633" w:type="pct"/>
            <w:tcBorders>
              <w:top w:val="single" w:sz="4" w:space="0" w:color="auto"/>
              <w:left w:val="nil"/>
              <w:bottom w:val="single" w:sz="4" w:space="0" w:color="auto"/>
              <w:right w:val="single" w:sz="4" w:space="0" w:color="auto"/>
            </w:tcBorders>
            <w:noWrap/>
            <w:vAlign w:val="bottom"/>
            <w:hideMark/>
          </w:tcPr>
          <w:p w14:paraId="2CE0165E"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15</w:t>
            </w:r>
          </w:p>
        </w:tc>
        <w:tc>
          <w:tcPr>
            <w:tcW w:w="493" w:type="pct"/>
            <w:tcBorders>
              <w:top w:val="single" w:sz="4" w:space="0" w:color="auto"/>
              <w:left w:val="nil"/>
              <w:bottom w:val="single" w:sz="4" w:space="0" w:color="auto"/>
              <w:right w:val="single" w:sz="4" w:space="0" w:color="auto"/>
            </w:tcBorders>
            <w:noWrap/>
            <w:vAlign w:val="bottom"/>
            <w:hideMark/>
          </w:tcPr>
          <w:p w14:paraId="2BC6EB5E"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4</w:t>
            </w:r>
          </w:p>
        </w:tc>
      </w:tr>
      <w:tr w:rsidR="00842A15" w:rsidRPr="00291BF0" w14:paraId="60D654FB" w14:textId="77777777" w:rsidTr="26B34547">
        <w:trPr>
          <w:trHeight w:val="252"/>
        </w:trPr>
        <w:tc>
          <w:tcPr>
            <w:tcW w:w="988" w:type="pct"/>
            <w:tcBorders>
              <w:top w:val="nil"/>
              <w:left w:val="single" w:sz="4" w:space="0" w:color="auto"/>
              <w:bottom w:val="single" w:sz="4" w:space="0" w:color="auto"/>
              <w:right w:val="single" w:sz="4" w:space="0" w:color="auto"/>
            </w:tcBorders>
            <w:noWrap/>
            <w:vAlign w:val="bottom"/>
            <w:hideMark/>
          </w:tcPr>
          <w:p w14:paraId="7FDBB757"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Confidentiality/Privacy Breaches</w:t>
            </w:r>
          </w:p>
        </w:tc>
        <w:tc>
          <w:tcPr>
            <w:tcW w:w="844" w:type="pct"/>
            <w:tcBorders>
              <w:top w:val="nil"/>
              <w:left w:val="nil"/>
              <w:bottom w:val="single" w:sz="4" w:space="0" w:color="auto"/>
              <w:right w:val="single" w:sz="4" w:space="0" w:color="auto"/>
            </w:tcBorders>
            <w:noWrap/>
            <w:vAlign w:val="bottom"/>
            <w:hideMark/>
          </w:tcPr>
          <w:p w14:paraId="2B159272"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 </w:t>
            </w:r>
          </w:p>
        </w:tc>
        <w:tc>
          <w:tcPr>
            <w:tcW w:w="1409" w:type="pct"/>
            <w:tcBorders>
              <w:top w:val="single" w:sz="4" w:space="0" w:color="auto"/>
              <w:left w:val="nil"/>
              <w:bottom w:val="single" w:sz="4" w:space="0" w:color="auto"/>
              <w:right w:val="single" w:sz="4" w:space="0" w:color="auto"/>
            </w:tcBorders>
            <w:noWrap/>
            <w:vAlign w:val="bottom"/>
            <w:hideMark/>
          </w:tcPr>
          <w:p w14:paraId="759FF368"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 </w:t>
            </w:r>
          </w:p>
        </w:tc>
        <w:tc>
          <w:tcPr>
            <w:tcW w:w="634" w:type="pct"/>
            <w:tcBorders>
              <w:top w:val="single" w:sz="4" w:space="0" w:color="auto"/>
              <w:left w:val="nil"/>
              <w:bottom w:val="single" w:sz="4" w:space="0" w:color="auto"/>
              <w:right w:val="single" w:sz="4" w:space="0" w:color="auto"/>
            </w:tcBorders>
            <w:noWrap/>
            <w:vAlign w:val="bottom"/>
            <w:hideMark/>
          </w:tcPr>
          <w:p w14:paraId="1449CE60" w14:textId="77777777" w:rsidR="00842A15" w:rsidRPr="00291BF0" w:rsidRDefault="00842A15" w:rsidP="00240F9B">
            <w:pPr>
              <w:widowControl/>
              <w:autoSpaceDE/>
              <w:autoSpaceDN/>
              <w:spacing w:before="100" w:beforeAutospacing="1" w:after="100" w:afterAutospacing="1" w:line="276" w:lineRule="auto"/>
              <w:jc w:val="both"/>
              <w:rPr>
                <w:b/>
                <w:bCs/>
                <w:color w:val="000000"/>
                <w:sz w:val="20"/>
                <w:szCs w:val="20"/>
                <w:lang w:eastAsia="en-GB"/>
              </w:rPr>
            </w:pPr>
            <w:r w:rsidRPr="00291BF0">
              <w:rPr>
                <w:b/>
                <w:bCs/>
                <w:color w:val="000000"/>
                <w:sz w:val="20"/>
                <w:szCs w:val="20"/>
                <w:lang w:eastAsia="en-GB"/>
              </w:rPr>
              <w:t>10</w:t>
            </w:r>
          </w:p>
        </w:tc>
        <w:tc>
          <w:tcPr>
            <w:tcW w:w="633" w:type="pct"/>
            <w:tcBorders>
              <w:top w:val="single" w:sz="4" w:space="0" w:color="auto"/>
              <w:left w:val="nil"/>
              <w:bottom w:val="single" w:sz="4" w:space="0" w:color="auto"/>
              <w:right w:val="single" w:sz="4" w:space="0" w:color="auto"/>
            </w:tcBorders>
            <w:noWrap/>
            <w:vAlign w:val="bottom"/>
            <w:hideMark/>
          </w:tcPr>
          <w:p w14:paraId="6E7EFA6F" w14:textId="77777777" w:rsidR="00842A15" w:rsidRPr="00291BF0" w:rsidRDefault="00842A15" w:rsidP="00240F9B">
            <w:pPr>
              <w:widowControl/>
              <w:autoSpaceDE/>
              <w:autoSpaceDN/>
              <w:spacing w:before="100" w:beforeAutospacing="1" w:after="100" w:afterAutospacing="1" w:line="276" w:lineRule="auto"/>
              <w:jc w:val="both"/>
              <w:rPr>
                <w:b/>
                <w:bCs/>
                <w:color w:val="000000"/>
                <w:sz w:val="20"/>
                <w:szCs w:val="20"/>
                <w:lang w:eastAsia="en-GB"/>
              </w:rPr>
            </w:pPr>
            <w:r w:rsidRPr="00291BF0">
              <w:rPr>
                <w:b/>
                <w:bCs/>
                <w:color w:val="000000"/>
                <w:sz w:val="20"/>
                <w:szCs w:val="20"/>
                <w:lang w:eastAsia="en-GB"/>
              </w:rPr>
              <w:t>7</w:t>
            </w:r>
          </w:p>
        </w:tc>
        <w:tc>
          <w:tcPr>
            <w:tcW w:w="493" w:type="pct"/>
            <w:tcBorders>
              <w:top w:val="single" w:sz="4" w:space="0" w:color="auto"/>
              <w:left w:val="nil"/>
              <w:bottom w:val="single" w:sz="4" w:space="0" w:color="auto"/>
              <w:right w:val="single" w:sz="4" w:space="0" w:color="auto"/>
            </w:tcBorders>
            <w:noWrap/>
            <w:vAlign w:val="bottom"/>
            <w:hideMark/>
          </w:tcPr>
          <w:p w14:paraId="185A720E" w14:textId="77777777" w:rsidR="00842A15" w:rsidRPr="00291BF0" w:rsidRDefault="00842A15" w:rsidP="00240F9B">
            <w:pPr>
              <w:widowControl/>
              <w:autoSpaceDE/>
              <w:autoSpaceDN/>
              <w:spacing w:before="100" w:beforeAutospacing="1" w:after="100" w:afterAutospacing="1" w:line="276" w:lineRule="auto"/>
              <w:jc w:val="both"/>
              <w:rPr>
                <w:b/>
                <w:bCs/>
                <w:color w:val="000000"/>
                <w:sz w:val="20"/>
                <w:szCs w:val="20"/>
                <w:lang w:eastAsia="en-GB"/>
              </w:rPr>
            </w:pPr>
            <w:r w:rsidRPr="00291BF0">
              <w:rPr>
                <w:b/>
                <w:bCs/>
                <w:color w:val="000000"/>
                <w:sz w:val="20"/>
                <w:szCs w:val="20"/>
                <w:lang w:eastAsia="en-GB"/>
              </w:rPr>
              <w:t>3</w:t>
            </w:r>
          </w:p>
        </w:tc>
      </w:tr>
      <w:tr w:rsidR="00842A15" w:rsidRPr="00291BF0" w14:paraId="49355600" w14:textId="77777777" w:rsidTr="26B34547">
        <w:trPr>
          <w:trHeight w:val="252"/>
        </w:trPr>
        <w:tc>
          <w:tcPr>
            <w:tcW w:w="988" w:type="pct"/>
            <w:tcBorders>
              <w:top w:val="nil"/>
              <w:left w:val="single" w:sz="4" w:space="0" w:color="auto"/>
              <w:bottom w:val="single" w:sz="4" w:space="0" w:color="auto"/>
              <w:right w:val="single" w:sz="4" w:space="0" w:color="auto"/>
            </w:tcBorders>
            <w:noWrap/>
            <w:vAlign w:val="bottom"/>
            <w:hideMark/>
          </w:tcPr>
          <w:p w14:paraId="19870F7B"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 </w:t>
            </w:r>
          </w:p>
        </w:tc>
        <w:tc>
          <w:tcPr>
            <w:tcW w:w="844" w:type="pct"/>
            <w:tcBorders>
              <w:top w:val="nil"/>
              <w:left w:val="nil"/>
              <w:bottom w:val="single" w:sz="4" w:space="0" w:color="auto"/>
              <w:right w:val="single" w:sz="4" w:space="0" w:color="auto"/>
            </w:tcBorders>
            <w:noWrap/>
            <w:vAlign w:val="bottom"/>
            <w:hideMark/>
          </w:tcPr>
          <w:p w14:paraId="6D69A38B" w14:textId="77777777" w:rsidR="00842A15" w:rsidRPr="00291BF0" w:rsidRDefault="00842A15" w:rsidP="62AA30B3">
            <w:pPr>
              <w:widowControl/>
              <w:autoSpaceDE/>
              <w:autoSpaceDN/>
              <w:spacing w:before="100" w:beforeAutospacing="1" w:after="100" w:afterAutospacing="1" w:line="276" w:lineRule="auto"/>
              <w:jc w:val="both"/>
              <w:rPr>
                <w:color w:val="000000"/>
                <w:sz w:val="20"/>
                <w:szCs w:val="20"/>
                <w:lang w:eastAsia="en-GB"/>
              </w:rPr>
            </w:pPr>
            <w:proofErr w:type="spellStart"/>
            <w:r w:rsidRPr="62AA30B3">
              <w:rPr>
                <w:color w:val="000000" w:themeColor="text1"/>
                <w:sz w:val="20"/>
                <w:szCs w:val="20"/>
                <w:lang w:eastAsia="en-GB"/>
              </w:rPr>
              <w:t>Unauthorised</w:t>
            </w:r>
            <w:proofErr w:type="spellEnd"/>
            <w:r w:rsidRPr="62AA30B3">
              <w:rPr>
                <w:color w:val="000000" w:themeColor="text1"/>
                <w:sz w:val="20"/>
                <w:szCs w:val="20"/>
                <w:lang w:eastAsia="en-GB"/>
              </w:rPr>
              <w:t xml:space="preserve"> sharing of personal information</w:t>
            </w:r>
          </w:p>
        </w:tc>
        <w:tc>
          <w:tcPr>
            <w:tcW w:w="1409" w:type="pct"/>
            <w:tcBorders>
              <w:top w:val="nil"/>
              <w:left w:val="nil"/>
              <w:bottom w:val="single" w:sz="4" w:space="0" w:color="auto"/>
              <w:right w:val="single" w:sz="4" w:space="0" w:color="auto"/>
            </w:tcBorders>
            <w:noWrap/>
            <w:vAlign w:val="bottom"/>
            <w:hideMark/>
          </w:tcPr>
          <w:p w14:paraId="08B3FEBD"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 </w:t>
            </w:r>
          </w:p>
        </w:tc>
        <w:tc>
          <w:tcPr>
            <w:tcW w:w="634" w:type="pct"/>
            <w:tcBorders>
              <w:top w:val="nil"/>
              <w:left w:val="nil"/>
              <w:bottom w:val="single" w:sz="4" w:space="0" w:color="auto"/>
              <w:right w:val="single" w:sz="4" w:space="0" w:color="auto"/>
            </w:tcBorders>
            <w:noWrap/>
            <w:vAlign w:val="bottom"/>
            <w:hideMark/>
          </w:tcPr>
          <w:p w14:paraId="7C405A12"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10</w:t>
            </w:r>
          </w:p>
        </w:tc>
        <w:tc>
          <w:tcPr>
            <w:tcW w:w="633" w:type="pct"/>
            <w:tcBorders>
              <w:top w:val="nil"/>
              <w:left w:val="nil"/>
              <w:bottom w:val="single" w:sz="4" w:space="0" w:color="auto"/>
              <w:right w:val="single" w:sz="4" w:space="0" w:color="auto"/>
            </w:tcBorders>
            <w:noWrap/>
            <w:vAlign w:val="bottom"/>
            <w:hideMark/>
          </w:tcPr>
          <w:p w14:paraId="4BCC5455"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7</w:t>
            </w:r>
          </w:p>
        </w:tc>
        <w:tc>
          <w:tcPr>
            <w:tcW w:w="493" w:type="pct"/>
            <w:tcBorders>
              <w:top w:val="nil"/>
              <w:left w:val="nil"/>
              <w:bottom w:val="single" w:sz="4" w:space="0" w:color="auto"/>
              <w:right w:val="single" w:sz="4" w:space="0" w:color="auto"/>
            </w:tcBorders>
            <w:noWrap/>
            <w:vAlign w:val="bottom"/>
            <w:hideMark/>
          </w:tcPr>
          <w:p w14:paraId="78CC1B04"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3</w:t>
            </w:r>
          </w:p>
        </w:tc>
      </w:tr>
      <w:tr w:rsidR="00842A15" w:rsidRPr="00291BF0" w14:paraId="105E6956" w14:textId="77777777" w:rsidTr="26B34547">
        <w:trPr>
          <w:trHeight w:val="252"/>
        </w:trPr>
        <w:tc>
          <w:tcPr>
            <w:tcW w:w="988" w:type="pct"/>
            <w:tcBorders>
              <w:top w:val="nil"/>
              <w:left w:val="single" w:sz="4" w:space="0" w:color="auto"/>
              <w:bottom w:val="single" w:sz="4" w:space="0" w:color="auto"/>
              <w:right w:val="single" w:sz="4" w:space="0" w:color="auto"/>
            </w:tcBorders>
            <w:noWrap/>
            <w:vAlign w:val="center"/>
            <w:hideMark/>
          </w:tcPr>
          <w:p w14:paraId="1E3106E8"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Customer Care</w:t>
            </w:r>
          </w:p>
        </w:tc>
        <w:tc>
          <w:tcPr>
            <w:tcW w:w="844" w:type="pct"/>
            <w:tcBorders>
              <w:top w:val="nil"/>
              <w:left w:val="nil"/>
              <w:bottom w:val="single" w:sz="4" w:space="0" w:color="auto"/>
              <w:right w:val="single" w:sz="4" w:space="0" w:color="auto"/>
            </w:tcBorders>
            <w:noWrap/>
            <w:vAlign w:val="bottom"/>
            <w:hideMark/>
          </w:tcPr>
          <w:p w14:paraId="59E2C201"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 </w:t>
            </w:r>
          </w:p>
        </w:tc>
        <w:tc>
          <w:tcPr>
            <w:tcW w:w="1409" w:type="pct"/>
            <w:tcBorders>
              <w:top w:val="nil"/>
              <w:left w:val="nil"/>
              <w:bottom w:val="single" w:sz="4" w:space="0" w:color="auto"/>
              <w:right w:val="single" w:sz="4" w:space="0" w:color="auto"/>
            </w:tcBorders>
            <w:noWrap/>
            <w:vAlign w:val="bottom"/>
            <w:hideMark/>
          </w:tcPr>
          <w:p w14:paraId="6B398464"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 </w:t>
            </w:r>
          </w:p>
        </w:tc>
        <w:tc>
          <w:tcPr>
            <w:tcW w:w="634" w:type="pct"/>
            <w:tcBorders>
              <w:top w:val="nil"/>
              <w:left w:val="nil"/>
              <w:bottom w:val="single" w:sz="4" w:space="0" w:color="auto"/>
              <w:right w:val="single" w:sz="4" w:space="0" w:color="auto"/>
            </w:tcBorders>
            <w:noWrap/>
            <w:vAlign w:val="bottom"/>
            <w:hideMark/>
          </w:tcPr>
          <w:p w14:paraId="1898DCFA" w14:textId="77777777" w:rsidR="00842A15" w:rsidRPr="00291BF0" w:rsidRDefault="00842A15" w:rsidP="00240F9B">
            <w:pPr>
              <w:widowControl/>
              <w:autoSpaceDE/>
              <w:autoSpaceDN/>
              <w:spacing w:before="100" w:beforeAutospacing="1" w:after="100" w:afterAutospacing="1" w:line="276" w:lineRule="auto"/>
              <w:jc w:val="both"/>
              <w:rPr>
                <w:b/>
                <w:bCs/>
                <w:color w:val="000000"/>
                <w:sz w:val="20"/>
                <w:szCs w:val="20"/>
                <w:lang w:eastAsia="en-GB"/>
              </w:rPr>
            </w:pPr>
            <w:r w:rsidRPr="00291BF0">
              <w:rPr>
                <w:b/>
                <w:bCs/>
                <w:color w:val="000000"/>
                <w:sz w:val="20"/>
                <w:szCs w:val="20"/>
                <w:lang w:eastAsia="en-GB"/>
              </w:rPr>
              <w:t>4</w:t>
            </w:r>
          </w:p>
        </w:tc>
        <w:tc>
          <w:tcPr>
            <w:tcW w:w="633" w:type="pct"/>
            <w:tcBorders>
              <w:top w:val="nil"/>
              <w:left w:val="nil"/>
              <w:bottom w:val="single" w:sz="4" w:space="0" w:color="auto"/>
              <w:right w:val="single" w:sz="4" w:space="0" w:color="auto"/>
            </w:tcBorders>
            <w:noWrap/>
            <w:vAlign w:val="bottom"/>
            <w:hideMark/>
          </w:tcPr>
          <w:p w14:paraId="3B6224D5" w14:textId="77777777" w:rsidR="00842A15" w:rsidRPr="00291BF0" w:rsidRDefault="00842A15" w:rsidP="00240F9B">
            <w:pPr>
              <w:widowControl/>
              <w:autoSpaceDE/>
              <w:autoSpaceDN/>
              <w:spacing w:before="100" w:beforeAutospacing="1" w:after="100" w:afterAutospacing="1" w:line="276" w:lineRule="auto"/>
              <w:jc w:val="both"/>
              <w:rPr>
                <w:b/>
                <w:bCs/>
                <w:color w:val="000000"/>
                <w:sz w:val="20"/>
                <w:szCs w:val="20"/>
                <w:lang w:eastAsia="en-GB"/>
              </w:rPr>
            </w:pPr>
            <w:r w:rsidRPr="00291BF0">
              <w:rPr>
                <w:b/>
                <w:bCs/>
                <w:color w:val="000000"/>
                <w:sz w:val="20"/>
                <w:szCs w:val="20"/>
                <w:lang w:eastAsia="en-GB"/>
              </w:rPr>
              <w:t>3</w:t>
            </w:r>
          </w:p>
        </w:tc>
        <w:tc>
          <w:tcPr>
            <w:tcW w:w="493" w:type="pct"/>
            <w:tcBorders>
              <w:top w:val="nil"/>
              <w:left w:val="nil"/>
              <w:bottom w:val="single" w:sz="4" w:space="0" w:color="auto"/>
              <w:right w:val="single" w:sz="4" w:space="0" w:color="auto"/>
            </w:tcBorders>
            <w:noWrap/>
            <w:vAlign w:val="bottom"/>
            <w:hideMark/>
          </w:tcPr>
          <w:p w14:paraId="3F2BDA31" w14:textId="77777777" w:rsidR="00842A15" w:rsidRPr="00291BF0" w:rsidRDefault="00842A15" w:rsidP="00240F9B">
            <w:pPr>
              <w:widowControl/>
              <w:autoSpaceDE/>
              <w:autoSpaceDN/>
              <w:spacing w:before="100" w:beforeAutospacing="1" w:after="100" w:afterAutospacing="1" w:line="276" w:lineRule="auto"/>
              <w:jc w:val="both"/>
              <w:rPr>
                <w:b/>
                <w:bCs/>
                <w:color w:val="000000"/>
                <w:sz w:val="20"/>
                <w:szCs w:val="20"/>
                <w:lang w:eastAsia="en-GB"/>
              </w:rPr>
            </w:pPr>
            <w:r w:rsidRPr="00291BF0">
              <w:rPr>
                <w:b/>
                <w:bCs/>
                <w:color w:val="000000"/>
                <w:sz w:val="20"/>
                <w:szCs w:val="20"/>
                <w:lang w:eastAsia="en-GB"/>
              </w:rPr>
              <w:t>1</w:t>
            </w:r>
          </w:p>
        </w:tc>
      </w:tr>
      <w:tr w:rsidR="00842A15" w:rsidRPr="00291BF0" w14:paraId="31154C04" w14:textId="77777777" w:rsidTr="26B34547">
        <w:trPr>
          <w:trHeight w:val="252"/>
        </w:trPr>
        <w:tc>
          <w:tcPr>
            <w:tcW w:w="988" w:type="pct"/>
            <w:tcBorders>
              <w:top w:val="nil"/>
              <w:left w:val="single" w:sz="4" w:space="0" w:color="auto"/>
              <w:bottom w:val="single" w:sz="4" w:space="0" w:color="auto"/>
              <w:right w:val="single" w:sz="4" w:space="0" w:color="auto"/>
            </w:tcBorders>
            <w:noWrap/>
            <w:vAlign w:val="bottom"/>
            <w:hideMark/>
          </w:tcPr>
          <w:p w14:paraId="10FBD26D"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 </w:t>
            </w:r>
          </w:p>
        </w:tc>
        <w:tc>
          <w:tcPr>
            <w:tcW w:w="844" w:type="pct"/>
            <w:tcBorders>
              <w:top w:val="nil"/>
              <w:left w:val="nil"/>
              <w:bottom w:val="single" w:sz="4" w:space="0" w:color="auto"/>
              <w:right w:val="single" w:sz="4" w:space="0" w:color="auto"/>
            </w:tcBorders>
            <w:noWrap/>
            <w:vAlign w:val="bottom"/>
            <w:hideMark/>
          </w:tcPr>
          <w:p w14:paraId="27C44C55" w14:textId="77777777" w:rsidR="00842A15" w:rsidRPr="00291BF0" w:rsidRDefault="00842A15" w:rsidP="62AA30B3">
            <w:pPr>
              <w:widowControl/>
              <w:autoSpaceDE/>
              <w:autoSpaceDN/>
              <w:spacing w:before="100" w:beforeAutospacing="1" w:after="100" w:afterAutospacing="1" w:line="276" w:lineRule="auto"/>
              <w:jc w:val="both"/>
              <w:rPr>
                <w:color w:val="000000"/>
                <w:sz w:val="20"/>
                <w:szCs w:val="20"/>
                <w:lang w:eastAsia="en-GB"/>
              </w:rPr>
            </w:pPr>
            <w:r w:rsidRPr="62AA30B3">
              <w:rPr>
                <w:color w:val="000000" w:themeColor="text1"/>
                <w:sz w:val="20"/>
                <w:szCs w:val="20"/>
                <w:lang w:eastAsia="en-GB"/>
              </w:rPr>
              <w:t>No customer care</w:t>
            </w:r>
          </w:p>
        </w:tc>
        <w:tc>
          <w:tcPr>
            <w:tcW w:w="1409" w:type="pct"/>
            <w:tcBorders>
              <w:top w:val="nil"/>
              <w:left w:val="nil"/>
              <w:bottom w:val="single" w:sz="4" w:space="0" w:color="auto"/>
              <w:right w:val="single" w:sz="4" w:space="0" w:color="auto"/>
            </w:tcBorders>
            <w:noWrap/>
            <w:vAlign w:val="bottom"/>
            <w:hideMark/>
          </w:tcPr>
          <w:p w14:paraId="30B11D37"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 </w:t>
            </w:r>
          </w:p>
        </w:tc>
        <w:tc>
          <w:tcPr>
            <w:tcW w:w="634" w:type="pct"/>
            <w:tcBorders>
              <w:top w:val="nil"/>
              <w:left w:val="nil"/>
              <w:bottom w:val="single" w:sz="4" w:space="0" w:color="auto"/>
              <w:right w:val="single" w:sz="4" w:space="0" w:color="auto"/>
            </w:tcBorders>
            <w:noWrap/>
            <w:vAlign w:val="bottom"/>
            <w:hideMark/>
          </w:tcPr>
          <w:p w14:paraId="15BA93A3"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p>
        </w:tc>
        <w:tc>
          <w:tcPr>
            <w:tcW w:w="633" w:type="pct"/>
            <w:tcBorders>
              <w:top w:val="nil"/>
              <w:left w:val="nil"/>
              <w:bottom w:val="single" w:sz="4" w:space="0" w:color="auto"/>
              <w:right w:val="single" w:sz="4" w:space="0" w:color="auto"/>
            </w:tcBorders>
            <w:noWrap/>
            <w:vAlign w:val="bottom"/>
            <w:hideMark/>
          </w:tcPr>
          <w:p w14:paraId="31BE80B9"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p>
        </w:tc>
        <w:tc>
          <w:tcPr>
            <w:tcW w:w="493" w:type="pct"/>
            <w:tcBorders>
              <w:top w:val="nil"/>
              <w:left w:val="nil"/>
              <w:bottom w:val="single" w:sz="4" w:space="0" w:color="auto"/>
              <w:right w:val="single" w:sz="4" w:space="0" w:color="auto"/>
            </w:tcBorders>
            <w:noWrap/>
            <w:vAlign w:val="bottom"/>
            <w:hideMark/>
          </w:tcPr>
          <w:p w14:paraId="745D0EFF"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p>
        </w:tc>
      </w:tr>
      <w:tr w:rsidR="00842A15" w:rsidRPr="00291BF0" w14:paraId="143965E4" w14:textId="77777777" w:rsidTr="26B34547">
        <w:trPr>
          <w:trHeight w:val="252"/>
        </w:trPr>
        <w:tc>
          <w:tcPr>
            <w:tcW w:w="988" w:type="pct"/>
            <w:tcBorders>
              <w:top w:val="nil"/>
              <w:left w:val="single" w:sz="4" w:space="0" w:color="auto"/>
              <w:bottom w:val="single" w:sz="4" w:space="0" w:color="auto"/>
              <w:right w:val="single" w:sz="4" w:space="0" w:color="auto"/>
            </w:tcBorders>
            <w:noWrap/>
            <w:vAlign w:val="bottom"/>
            <w:hideMark/>
          </w:tcPr>
          <w:p w14:paraId="19120734"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 </w:t>
            </w:r>
          </w:p>
        </w:tc>
        <w:tc>
          <w:tcPr>
            <w:tcW w:w="844" w:type="pct"/>
            <w:tcBorders>
              <w:top w:val="nil"/>
              <w:left w:val="nil"/>
              <w:bottom w:val="single" w:sz="4" w:space="0" w:color="auto"/>
              <w:right w:val="single" w:sz="4" w:space="0" w:color="auto"/>
            </w:tcBorders>
            <w:noWrap/>
            <w:vAlign w:val="bottom"/>
            <w:hideMark/>
          </w:tcPr>
          <w:p w14:paraId="63AB0FE2"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Poor customer care</w:t>
            </w:r>
          </w:p>
        </w:tc>
        <w:tc>
          <w:tcPr>
            <w:tcW w:w="1409" w:type="pct"/>
            <w:tcBorders>
              <w:top w:val="nil"/>
              <w:left w:val="nil"/>
              <w:bottom w:val="single" w:sz="4" w:space="0" w:color="auto"/>
              <w:right w:val="single" w:sz="4" w:space="0" w:color="auto"/>
            </w:tcBorders>
            <w:noWrap/>
            <w:vAlign w:val="bottom"/>
            <w:hideMark/>
          </w:tcPr>
          <w:p w14:paraId="348D4192"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 </w:t>
            </w:r>
          </w:p>
        </w:tc>
        <w:tc>
          <w:tcPr>
            <w:tcW w:w="634" w:type="pct"/>
            <w:tcBorders>
              <w:top w:val="nil"/>
              <w:left w:val="nil"/>
              <w:bottom w:val="single" w:sz="4" w:space="0" w:color="auto"/>
              <w:right w:val="single" w:sz="4" w:space="0" w:color="auto"/>
            </w:tcBorders>
            <w:noWrap/>
            <w:vAlign w:val="bottom"/>
            <w:hideMark/>
          </w:tcPr>
          <w:p w14:paraId="2A194A2B"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4</w:t>
            </w:r>
          </w:p>
        </w:tc>
        <w:tc>
          <w:tcPr>
            <w:tcW w:w="633" w:type="pct"/>
            <w:tcBorders>
              <w:top w:val="nil"/>
              <w:left w:val="nil"/>
              <w:bottom w:val="single" w:sz="4" w:space="0" w:color="auto"/>
              <w:right w:val="single" w:sz="4" w:space="0" w:color="auto"/>
            </w:tcBorders>
            <w:noWrap/>
            <w:vAlign w:val="bottom"/>
            <w:hideMark/>
          </w:tcPr>
          <w:p w14:paraId="273F1C14"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3</w:t>
            </w:r>
          </w:p>
        </w:tc>
        <w:tc>
          <w:tcPr>
            <w:tcW w:w="493" w:type="pct"/>
            <w:tcBorders>
              <w:top w:val="nil"/>
              <w:left w:val="nil"/>
              <w:bottom w:val="single" w:sz="4" w:space="0" w:color="auto"/>
              <w:right w:val="single" w:sz="4" w:space="0" w:color="auto"/>
            </w:tcBorders>
            <w:noWrap/>
            <w:vAlign w:val="bottom"/>
            <w:hideMark/>
          </w:tcPr>
          <w:p w14:paraId="3B24F78B"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1</w:t>
            </w:r>
          </w:p>
        </w:tc>
      </w:tr>
      <w:tr w:rsidR="00842A15" w:rsidRPr="00291BF0" w14:paraId="34FA003D" w14:textId="77777777" w:rsidTr="26B34547">
        <w:trPr>
          <w:trHeight w:val="252"/>
        </w:trPr>
        <w:tc>
          <w:tcPr>
            <w:tcW w:w="988" w:type="pct"/>
            <w:tcBorders>
              <w:top w:val="nil"/>
              <w:left w:val="single" w:sz="4" w:space="0" w:color="auto"/>
              <w:bottom w:val="single" w:sz="4" w:space="0" w:color="auto"/>
              <w:right w:val="single" w:sz="4" w:space="0" w:color="auto"/>
            </w:tcBorders>
            <w:noWrap/>
            <w:vAlign w:val="bottom"/>
            <w:hideMark/>
          </w:tcPr>
          <w:p w14:paraId="79069FDC"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Electromagnetic/Health/Environmental Hazard</w:t>
            </w:r>
          </w:p>
        </w:tc>
        <w:tc>
          <w:tcPr>
            <w:tcW w:w="844" w:type="pct"/>
            <w:tcBorders>
              <w:top w:val="nil"/>
              <w:left w:val="nil"/>
              <w:bottom w:val="single" w:sz="4" w:space="0" w:color="auto"/>
              <w:right w:val="single" w:sz="4" w:space="0" w:color="auto"/>
            </w:tcBorders>
            <w:noWrap/>
            <w:vAlign w:val="bottom"/>
            <w:hideMark/>
          </w:tcPr>
          <w:p w14:paraId="0E2FB86E"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 </w:t>
            </w:r>
          </w:p>
        </w:tc>
        <w:tc>
          <w:tcPr>
            <w:tcW w:w="1409" w:type="pct"/>
            <w:tcBorders>
              <w:top w:val="nil"/>
              <w:left w:val="nil"/>
              <w:bottom w:val="single" w:sz="4" w:space="0" w:color="auto"/>
              <w:right w:val="single" w:sz="4" w:space="0" w:color="auto"/>
            </w:tcBorders>
            <w:noWrap/>
            <w:vAlign w:val="bottom"/>
            <w:hideMark/>
          </w:tcPr>
          <w:p w14:paraId="57C31107"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 </w:t>
            </w:r>
          </w:p>
        </w:tc>
        <w:tc>
          <w:tcPr>
            <w:tcW w:w="634" w:type="pct"/>
            <w:tcBorders>
              <w:top w:val="nil"/>
              <w:left w:val="nil"/>
              <w:bottom w:val="single" w:sz="4" w:space="0" w:color="auto"/>
              <w:right w:val="single" w:sz="4" w:space="0" w:color="auto"/>
            </w:tcBorders>
            <w:noWrap/>
            <w:vAlign w:val="bottom"/>
            <w:hideMark/>
          </w:tcPr>
          <w:p w14:paraId="717114CE"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3</w:t>
            </w:r>
          </w:p>
        </w:tc>
        <w:tc>
          <w:tcPr>
            <w:tcW w:w="633" w:type="pct"/>
            <w:tcBorders>
              <w:top w:val="nil"/>
              <w:left w:val="nil"/>
              <w:bottom w:val="single" w:sz="4" w:space="0" w:color="auto"/>
              <w:right w:val="single" w:sz="4" w:space="0" w:color="auto"/>
            </w:tcBorders>
            <w:noWrap/>
            <w:vAlign w:val="bottom"/>
            <w:hideMark/>
          </w:tcPr>
          <w:p w14:paraId="1A3805D2"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2</w:t>
            </w:r>
          </w:p>
        </w:tc>
        <w:tc>
          <w:tcPr>
            <w:tcW w:w="493" w:type="pct"/>
            <w:tcBorders>
              <w:top w:val="nil"/>
              <w:left w:val="nil"/>
              <w:bottom w:val="single" w:sz="4" w:space="0" w:color="auto"/>
              <w:right w:val="single" w:sz="4" w:space="0" w:color="auto"/>
            </w:tcBorders>
            <w:noWrap/>
            <w:vAlign w:val="bottom"/>
            <w:hideMark/>
          </w:tcPr>
          <w:p w14:paraId="7243FAD0"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1</w:t>
            </w:r>
          </w:p>
        </w:tc>
      </w:tr>
      <w:tr w:rsidR="00842A15" w:rsidRPr="00291BF0" w14:paraId="4AC6C4F2" w14:textId="77777777" w:rsidTr="26B34547">
        <w:trPr>
          <w:trHeight w:val="252"/>
        </w:trPr>
        <w:tc>
          <w:tcPr>
            <w:tcW w:w="988" w:type="pct"/>
            <w:tcBorders>
              <w:top w:val="nil"/>
              <w:left w:val="single" w:sz="4" w:space="0" w:color="auto"/>
              <w:bottom w:val="single" w:sz="4" w:space="0" w:color="auto"/>
              <w:right w:val="single" w:sz="4" w:space="0" w:color="auto"/>
            </w:tcBorders>
            <w:noWrap/>
            <w:vAlign w:val="bottom"/>
            <w:hideMark/>
          </w:tcPr>
          <w:p w14:paraId="75E7F59B"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 </w:t>
            </w:r>
          </w:p>
        </w:tc>
        <w:tc>
          <w:tcPr>
            <w:tcW w:w="844" w:type="pct"/>
            <w:tcBorders>
              <w:top w:val="nil"/>
              <w:left w:val="nil"/>
              <w:bottom w:val="single" w:sz="4" w:space="0" w:color="auto"/>
              <w:right w:val="single" w:sz="4" w:space="0" w:color="auto"/>
            </w:tcBorders>
            <w:noWrap/>
            <w:vAlign w:val="bottom"/>
            <w:hideMark/>
          </w:tcPr>
          <w:p w14:paraId="5EC62628"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 </w:t>
            </w:r>
          </w:p>
        </w:tc>
        <w:tc>
          <w:tcPr>
            <w:tcW w:w="1409" w:type="pct"/>
            <w:tcBorders>
              <w:top w:val="nil"/>
              <w:left w:val="nil"/>
              <w:bottom w:val="single" w:sz="4" w:space="0" w:color="auto"/>
              <w:right w:val="single" w:sz="4" w:space="0" w:color="auto"/>
            </w:tcBorders>
            <w:noWrap/>
            <w:vAlign w:val="bottom"/>
            <w:hideMark/>
          </w:tcPr>
          <w:p w14:paraId="72B2A71E"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 </w:t>
            </w:r>
          </w:p>
        </w:tc>
        <w:tc>
          <w:tcPr>
            <w:tcW w:w="634" w:type="pct"/>
            <w:tcBorders>
              <w:top w:val="nil"/>
              <w:left w:val="nil"/>
              <w:bottom w:val="single" w:sz="4" w:space="0" w:color="auto"/>
              <w:right w:val="single" w:sz="4" w:space="0" w:color="auto"/>
            </w:tcBorders>
            <w:noWrap/>
            <w:vAlign w:val="bottom"/>
            <w:hideMark/>
          </w:tcPr>
          <w:p w14:paraId="4AC21AE4"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 </w:t>
            </w:r>
          </w:p>
        </w:tc>
        <w:tc>
          <w:tcPr>
            <w:tcW w:w="633" w:type="pct"/>
            <w:tcBorders>
              <w:top w:val="nil"/>
              <w:left w:val="nil"/>
              <w:bottom w:val="single" w:sz="4" w:space="0" w:color="auto"/>
              <w:right w:val="single" w:sz="4" w:space="0" w:color="auto"/>
            </w:tcBorders>
            <w:noWrap/>
            <w:vAlign w:val="bottom"/>
            <w:hideMark/>
          </w:tcPr>
          <w:p w14:paraId="138E7360"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 </w:t>
            </w:r>
          </w:p>
        </w:tc>
        <w:tc>
          <w:tcPr>
            <w:tcW w:w="493" w:type="pct"/>
            <w:tcBorders>
              <w:top w:val="nil"/>
              <w:left w:val="nil"/>
              <w:bottom w:val="single" w:sz="4" w:space="0" w:color="auto"/>
              <w:right w:val="single" w:sz="4" w:space="0" w:color="auto"/>
            </w:tcBorders>
            <w:noWrap/>
            <w:vAlign w:val="bottom"/>
            <w:hideMark/>
          </w:tcPr>
          <w:p w14:paraId="5AECD57B"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 </w:t>
            </w:r>
          </w:p>
        </w:tc>
      </w:tr>
      <w:tr w:rsidR="00842A15" w:rsidRPr="00291BF0" w14:paraId="53F5A941" w14:textId="77777777" w:rsidTr="26B34547">
        <w:trPr>
          <w:trHeight w:val="252"/>
        </w:trPr>
        <w:tc>
          <w:tcPr>
            <w:tcW w:w="988" w:type="pct"/>
            <w:tcBorders>
              <w:top w:val="nil"/>
              <w:left w:val="single" w:sz="4" w:space="0" w:color="auto"/>
              <w:bottom w:val="single" w:sz="4" w:space="0" w:color="auto"/>
              <w:right w:val="single" w:sz="4" w:space="0" w:color="auto"/>
            </w:tcBorders>
            <w:noWrap/>
            <w:vAlign w:val="bottom"/>
            <w:hideMark/>
          </w:tcPr>
          <w:p w14:paraId="467E5C05"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E-commerce</w:t>
            </w:r>
          </w:p>
        </w:tc>
        <w:tc>
          <w:tcPr>
            <w:tcW w:w="844" w:type="pct"/>
            <w:tcBorders>
              <w:top w:val="nil"/>
              <w:left w:val="nil"/>
              <w:bottom w:val="single" w:sz="4" w:space="0" w:color="auto"/>
              <w:right w:val="single" w:sz="4" w:space="0" w:color="auto"/>
            </w:tcBorders>
            <w:noWrap/>
            <w:vAlign w:val="bottom"/>
            <w:hideMark/>
          </w:tcPr>
          <w:p w14:paraId="789CF910"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 </w:t>
            </w:r>
          </w:p>
        </w:tc>
        <w:tc>
          <w:tcPr>
            <w:tcW w:w="1409" w:type="pct"/>
            <w:tcBorders>
              <w:top w:val="nil"/>
              <w:left w:val="nil"/>
              <w:bottom w:val="single" w:sz="4" w:space="0" w:color="auto"/>
              <w:right w:val="single" w:sz="4" w:space="0" w:color="auto"/>
            </w:tcBorders>
            <w:noWrap/>
            <w:vAlign w:val="bottom"/>
            <w:hideMark/>
          </w:tcPr>
          <w:p w14:paraId="390BE56E"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 </w:t>
            </w:r>
          </w:p>
        </w:tc>
        <w:tc>
          <w:tcPr>
            <w:tcW w:w="634" w:type="pct"/>
            <w:tcBorders>
              <w:top w:val="nil"/>
              <w:left w:val="nil"/>
              <w:bottom w:val="single" w:sz="4" w:space="0" w:color="auto"/>
              <w:right w:val="single" w:sz="4" w:space="0" w:color="auto"/>
            </w:tcBorders>
            <w:noWrap/>
            <w:vAlign w:val="bottom"/>
            <w:hideMark/>
          </w:tcPr>
          <w:p w14:paraId="186D8827"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9</w:t>
            </w:r>
          </w:p>
        </w:tc>
        <w:tc>
          <w:tcPr>
            <w:tcW w:w="633" w:type="pct"/>
            <w:tcBorders>
              <w:top w:val="nil"/>
              <w:left w:val="nil"/>
              <w:bottom w:val="single" w:sz="4" w:space="0" w:color="auto"/>
              <w:right w:val="single" w:sz="4" w:space="0" w:color="auto"/>
            </w:tcBorders>
            <w:noWrap/>
            <w:vAlign w:val="bottom"/>
            <w:hideMark/>
          </w:tcPr>
          <w:p w14:paraId="3D0CF5D1"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9</w:t>
            </w:r>
          </w:p>
        </w:tc>
        <w:tc>
          <w:tcPr>
            <w:tcW w:w="493" w:type="pct"/>
            <w:tcBorders>
              <w:top w:val="nil"/>
              <w:left w:val="nil"/>
              <w:bottom w:val="single" w:sz="4" w:space="0" w:color="auto"/>
              <w:right w:val="single" w:sz="4" w:space="0" w:color="auto"/>
            </w:tcBorders>
            <w:noWrap/>
            <w:vAlign w:val="bottom"/>
            <w:hideMark/>
          </w:tcPr>
          <w:p w14:paraId="353F2EDD"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0</w:t>
            </w:r>
          </w:p>
        </w:tc>
      </w:tr>
      <w:tr w:rsidR="00842A15" w:rsidRPr="00291BF0" w14:paraId="2ED86E08" w14:textId="77777777" w:rsidTr="26B34547">
        <w:trPr>
          <w:trHeight w:val="252"/>
        </w:trPr>
        <w:tc>
          <w:tcPr>
            <w:tcW w:w="988" w:type="pct"/>
            <w:tcBorders>
              <w:top w:val="nil"/>
              <w:left w:val="single" w:sz="4" w:space="0" w:color="auto"/>
              <w:bottom w:val="single" w:sz="4" w:space="0" w:color="auto"/>
              <w:right w:val="single" w:sz="4" w:space="0" w:color="auto"/>
            </w:tcBorders>
            <w:noWrap/>
            <w:vAlign w:val="bottom"/>
            <w:hideMark/>
          </w:tcPr>
          <w:p w14:paraId="126AFBB5"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 </w:t>
            </w:r>
          </w:p>
        </w:tc>
        <w:tc>
          <w:tcPr>
            <w:tcW w:w="844" w:type="pct"/>
            <w:tcBorders>
              <w:top w:val="nil"/>
              <w:left w:val="nil"/>
              <w:bottom w:val="single" w:sz="4" w:space="0" w:color="auto"/>
              <w:right w:val="single" w:sz="4" w:space="0" w:color="auto"/>
            </w:tcBorders>
            <w:noWrap/>
            <w:vAlign w:val="bottom"/>
            <w:hideMark/>
          </w:tcPr>
          <w:p w14:paraId="2D47011B"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 </w:t>
            </w:r>
          </w:p>
        </w:tc>
        <w:tc>
          <w:tcPr>
            <w:tcW w:w="1409" w:type="pct"/>
            <w:tcBorders>
              <w:top w:val="nil"/>
              <w:left w:val="nil"/>
              <w:bottom w:val="single" w:sz="4" w:space="0" w:color="auto"/>
              <w:right w:val="single" w:sz="4" w:space="0" w:color="auto"/>
            </w:tcBorders>
            <w:noWrap/>
            <w:vAlign w:val="bottom"/>
            <w:hideMark/>
          </w:tcPr>
          <w:p w14:paraId="1802450C"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 </w:t>
            </w:r>
          </w:p>
        </w:tc>
        <w:tc>
          <w:tcPr>
            <w:tcW w:w="634" w:type="pct"/>
            <w:tcBorders>
              <w:top w:val="nil"/>
              <w:left w:val="nil"/>
              <w:bottom w:val="single" w:sz="4" w:space="0" w:color="auto"/>
              <w:right w:val="single" w:sz="4" w:space="0" w:color="auto"/>
            </w:tcBorders>
            <w:noWrap/>
            <w:vAlign w:val="bottom"/>
            <w:hideMark/>
          </w:tcPr>
          <w:p w14:paraId="2A1FA7D7"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 </w:t>
            </w:r>
          </w:p>
        </w:tc>
        <w:tc>
          <w:tcPr>
            <w:tcW w:w="633" w:type="pct"/>
            <w:tcBorders>
              <w:top w:val="nil"/>
              <w:left w:val="nil"/>
              <w:bottom w:val="single" w:sz="4" w:space="0" w:color="auto"/>
              <w:right w:val="single" w:sz="4" w:space="0" w:color="auto"/>
            </w:tcBorders>
            <w:noWrap/>
            <w:vAlign w:val="bottom"/>
            <w:hideMark/>
          </w:tcPr>
          <w:p w14:paraId="1B76ABB7"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 </w:t>
            </w:r>
          </w:p>
        </w:tc>
        <w:tc>
          <w:tcPr>
            <w:tcW w:w="493" w:type="pct"/>
            <w:tcBorders>
              <w:top w:val="nil"/>
              <w:left w:val="nil"/>
              <w:bottom w:val="single" w:sz="4" w:space="0" w:color="auto"/>
              <w:right w:val="single" w:sz="4" w:space="0" w:color="auto"/>
            </w:tcBorders>
            <w:noWrap/>
            <w:vAlign w:val="bottom"/>
            <w:hideMark/>
          </w:tcPr>
          <w:p w14:paraId="32A63F55"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 </w:t>
            </w:r>
          </w:p>
        </w:tc>
      </w:tr>
      <w:tr w:rsidR="00842A15" w:rsidRPr="00291BF0" w14:paraId="15B49180" w14:textId="77777777" w:rsidTr="26B34547">
        <w:trPr>
          <w:trHeight w:val="252"/>
        </w:trPr>
        <w:tc>
          <w:tcPr>
            <w:tcW w:w="988" w:type="pct"/>
            <w:tcBorders>
              <w:top w:val="nil"/>
              <w:left w:val="single" w:sz="4" w:space="0" w:color="auto"/>
              <w:bottom w:val="single" w:sz="4" w:space="0" w:color="auto"/>
              <w:right w:val="single" w:sz="4" w:space="0" w:color="auto"/>
            </w:tcBorders>
            <w:noWrap/>
            <w:vAlign w:val="bottom"/>
            <w:hideMark/>
          </w:tcPr>
          <w:p w14:paraId="4001EDB1"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 xml:space="preserve">Unfair trading practices </w:t>
            </w:r>
          </w:p>
        </w:tc>
        <w:tc>
          <w:tcPr>
            <w:tcW w:w="844" w:type="pct"/>
            <w:tcBorders>
              <w:top w:val="nil"/>
              <w:left w:val="nil"/>
              <w:bottom w:val="single" w:sz="4" w:space="0" w:color="auto"/>
              <w:right w:val="single" w:sz="4" w:space="0" w:color="auto"/>
            </w:tcBorders>
            <w:noWrap/>
            <w:vAlign w:val="bottom"/>
            <w:hideMark/>
          </w:tcPr>
          <w:p w14:paraId="25086F67"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 </w:t>
            </w:r>
          </w:p>
        </w:tc>
        <w:tc>
          <w:tcPr>
            <w:tcW w:w="1409" w:type="pct"/>
            <w:tcBorders>
              <w:top w:val="nil"/>
              <w:left w:val="nil"/>
              <w:bottom w:val="single" w:sz="4" w:space="0" w:color="auto"/>
              <w:right w:val="single" w:sz="4" w:space="0" w:color="auto"/>
            </w:tcBorders>
            <w:noWrap/>
            <w:vAlign w:val="bottom"/>
            <w:hideMark/>
          </w:tcPr>
          <w:p w14:paraId="4FA67C90"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 </w:t>
            </w:r>
          </w:p>
        </w:tc>
        <w:tc>
          <w:tcPr>
            <w:tcW w:w="634" w:type="pct"/>
            <w:tcBorders>
              <w:top w:val="nil"/>
              <w:left w:val="nil"/>
              <w:bottom w:val="single" w:sz="4" w:space="0" w:color="auto"/>
              <w:right w:val="single" w:sz="4" w:space="0" w:color="auto"/>
            </w:tcBorders>
            <w:noWrap/>
            <w:vAlign w:val="bottom"/>
            <w:hideMark/>
          </w:tcPr>
          <w:p w14:paraId="4105785A"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16</w:t>
            </w:r>
          </w:p>
        </w:tc>
        <w:tc>
          <w:tcPr>
            <w:tcW w:w="633" w:type="pct"/>
            <w:tcBorders>
              <w:top w:val="nil"/>
              <w:left w:val="nil"/>
              <w:bottom w:val="single" w:sz="4" w:space="0" w:color="auto"/>
              <w:right w:val="single" w:sz="4" w:space="0" w:color="auto"/>
            </w:tcBorders>
            <w:noWrap/>
            <w:vAlign w:val="bottom"/>
            <w:hideMark/>
          </w:tcPr>
          <w:p w14:paraId="09E6FEF2"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9</w:t>
            </w:r>
          </w:p>
        </w:tc>
        <w:tc>
          <w:tcPr>
            <w:tcW w:w="493" w:type="pct"/>
            <w:tcBorders>
              <w:top w:val="nil"/>
              <w:left w:val="nil"/>
              <w:bottom w:val="single" w:sz="4" w:space="0" w:color="auto"/>
              <w:right w:val="single" w:sz="4" w:space="0" w:color="auto"/>
            </w:tcBorders>
            <w:noWrap/>
            <w:vAlign w:val="bottom"/>
            <w:hideMark/>
          </w:tcPr>
          <w:p w14:paraId="7DCF531E"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7</w:t>
            </w:r>
          </w:p>
        </w:tc>
      </w:tr>
      <w:tr w:rsidR="00842A15" w:rsidRPr="00291BF0" w14:paraId="762D11AF" w14:textId="77777777" w:rsidTr="26B34547">
        <w:trPr>
          <w:trHeight w:val="252"/>
        </w:trPr>
        <w:tc>
          <w:tcPr>
            <w:tcW w:w="988" w:type="pct"/>
            <w:tcBorders>
              <w:top w:val="nil"/>
              <w:left w:val="single" w:sz="4" w:space="0" w:color="auto"/>
              <w:bottom w:val="single" w:sz="4" w:space="0" w:color="auto"/>
              <w:right w:val="single" w:sz="4" w:space="0" w:color="auto"/>
            </w:tcBorders>
            <w:noWrap/>
            <w:vAlign w:val="bottom"/>
            <w:hideMark/>
          </w:tcPr>
          <w:p w14:paraId="4B3E88AE"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 </w:t>
            </w:r>
          </w:p>
        </w:tc>
        <w:tc>
          <w:tcPr>
            <w:tcW w:w="844" w:type="pct"/>
            <w:tcBorders>
              <w:top w:val="nil"/>
              <w:left w:val="nil"/>
              <w:bottom w:val="single" w:sz="4" w:space="0" w:color="auto"/>
              <w:right w:val="single" w:sz="4" w:space="0" w:color="auto"/>
            </w:tcBorders>
            <w:noWrap/>
            <w:vAlign w:val="bottom"/>
            <w:hideMark/>
          </w:tcPr>
          <w:p w14:paraId="390E695B"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 </w:t>
            </w:r>
          </w:p>
        </w:tc>
        <w:tc>
          <w:tcPr>
            <w:tcW w:w="1409" w:type="pct"/>
            <w:tcBorders>
              <w:top w:val="nil"/>
              <w:left w:val="nil"/>
              <w:bottom w:val="single" w:sz="4" w:space="0" w:color="auto"/>
              <w:right w:val="single" w:sz="4" w:space="0" w:color="auto"/>
            </w:tcBorders>
            <w:noWrap/>
            <w:vAlign w:val="bottom"/>
            <w:hideMark/>
          </w:tcPr>
          <w:p w14:paraId="78ECA258"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 </w:t>
            </w:r>
          </w:p>
        </w:tc>
        <w:tc>
          <w:tcPr>
            <w:tcW w:w="634" w:type="pct"/>
            <w:tcBorders>
              <w:top w:val="nil"/>
              <w:left w:val="nil"/>
              <w:bottom w:val="single" w:sz="4" w:space="0" w:color="auto"/>
              <w:right w:val="single" w:sz="4" w:space="0" w:color="auto"/>
            </w:tcBorders>
            <w:noWrap/>
            <w:vAlign w:val="bottom"/>
            <w:hideMark/>
          </w:tcPr>
          <w:p w14:paraId="291D0574"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 </w:t>
            </w:r>
          </w:p>
        </w:tc>
        <w:tc>
          <w:tcPr>
            <w:tcW w:w="633" w:type="pct"/>
            <w:tcBorders>
              <w:top w:val="nil"/>
              <w:left w:val="nil"/>
              <w:bottom w:val="single" w:sz="4" w:space="0" w:color="auto"/>
              <w:right w:val="single" w:sz="4" w:space="0" w:color="auto"/>
            </w:tcBorders>
            <w:noWrap/>
            <w:vAlign w:val="bottom"/>
            <w:hideMark/>
          </w:tcPr>
          <w:p w14:paraId="5966F3CD"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 </w:t>
            </w:r>
          </w:p>
        </w:tc>
        <w:tc>
          <w:tcPr>
            <w:tcW w:w="493" w:type="pct"/>
            <w:tcBorders>
              <w:top w:val="nil"/>
              <w:left w:val="nil"/>
              <w:bottom w:val="single" w:sz="4" w:space="0" w:color="auto"/>
              <w:right w:val="single" w:sz="4" w:space="0" w:color="auto"/>
            </w:tcBorders>
            <w:noWrap/>
            <w:vAlign w:val="bottom"/>
            <w:hideMark/>
          </w:tcPr>
          <w:p w14:paraId="5DA3F64F"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 </w:t>
            </w:r>
          </w:p>
        </w:tc>
      </w:tr>
      <w:tr w:rsidR="00842A15" w:rsidRPr="00291BF0" w14:paraId="22B15380" w14:textId="77777777" w:rsidTr="26B34547">
        <w:trPr>
          <w:trHeight w:val="252"/>
        </w:trPr>
        <w:tc>
          <w:tcPr>
            <w:tcW w:w="988" w:type="pct"/>
            <w:tcBorders>
              <w:top w:val="nil"/>
              <w:left w:val="single" w:sz="4" w:space="0" w:color="auto"/>
              <w:bottom w:val="single" w:sz="4" w:space="0" w:color="auto"/>
              <w:right w:val="single" w:sz="4" w:space="0" w:color="auto"/>
            </w:tcBorders>
            <w:noWrap/>
            <w:vAlign w:val="bottom"/>
            <w:hideMark/>
          </w:tcPr>
          <w:p w14:paraId="3A0C5060"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lastRenderedPageBreak/>
              <w:t>Customer Premises Equipment (CPE) - (Failure to adhere to type approval needs)</w:t>
            </w:r>
          </w:p>
        </w:tc>
        <w:tc>
          <w:tcPr>
            <w:tcW w:w="844" w:type="pct"/>
            <w:tcBorders>
              <w:top w:val="nil"/>
              <w:left w:val="nil"/>
              <w:bottom w:val="single" w:sz="4" w:space="0" w:color="auto"/>
              <w:right w:val="single" w:sz="4" w:space="0" w:color="auto"/>
            </w:tcBorders>
            <w:noWrap/>
            <w:vAlign w:val="bottom"/>
            <w:hideMark/>
          </w:tcPr>
          <w:p w14:paraId="057438A3"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 </w:t>
            </w:r>
          </w:p>
        </w:tc>
        <w:tc>
          <w:tcPr>
            <w:tcW w:w="1409" w:type="pct"/>
            <w:tcBorders>
              <w:top w:val="nil"/>
              <w:left w:val="nil"/>
              <w:bottom w:val="single" w:sz="4" w:space="0" w:color="auto"/>
              <w:right w:val="single" w:sz="4" w:space="0" w:color="auto"/>
            </w:tcBorders>
            <w:noWrap/>
            <w:vAlign w:val="bottom"/>
            <w:hideMark/>
          </w:tcPr>
          <w:p w14:paraId="56AD7CD0"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 </w:t>
            </w:r>
          </w:p>
        </w:tc>
        <w:tc>
          <w:tcPr>
            <w:tcW w:w="634" w:type="pct"/>
            <w:tcBorders>
              <w:top w:val="nil"/>
              <w:left w:val="nil"/>
              <w:bottom w:val="single" w:sz="4" w:space="0" w:color="auto"/>
              <w:right w:val="single" w:sz="4" w:space="0" w:color="auto"/>
            </w:tcBorders>
            <w:noWrap/>
            <w:vAlign w:val="bottom"/>
            <w:hideMark/>
          </w:tcPr>
          <w:p w14:paraId="589A08DC"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19</w:t>
            </w:r>
          </w:p>
        </w:tc>
        <w:tc>
          <w:tcPr>
            <w:tcW w:w="633" w:type="pct"/>
            <w:tcBorders>
              <w:top w:val="nil"/>
              <w:left w:val="nil"/>
              <w:bottom w:val="single" w:sz="4" w:space="0" w:color="auto"/>
              <w:right w:val="single" w:sz="4" w:space="0" w:color="auto"/>
            </w:tcBorders>
            <w:noWrap/>
            <w:vAlign w:val="bottom"/>
            <w:hideMark/>
          </w:tcPr>
          <w:p w14:paraId="2852BCD6"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18</w:t>
            </w:r>
          </w:p>
        </w:tc>
        <w:tc>
          <w:tcPr>
            <w:tcW w:w="493" w:type="pct"/>
            <w:tcBorders>
              <w:top w:val="nil"/>
              <w:left w:val="nil"/>
              <w:bottom w:val="single" w:sz="4" w:space="0" w:color="auto"/>
              <w:right w:val="single" w:sz="4" w:space="0" w:color="auto"/>
            </w:tcBorders>
            <w:noWrap/>
            <w:vAlign w:val="bottom"/>
            <w:hideMark/>
          </w:tcPr>
          <w:p w14:paraId="09231A37"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1</w:t>
            </w:r>
          </w:p>
        </w:tc>
      </w:tr>
      <w:tr w:rsidR="00842A15" w:rsidRPr="00291BF0" w14:paraId="73A67040" w14:textId="77777777" w:rsidTr="26B34547">
        <w:trPr>
          <w:trHeight w:val="252"/>
        </w:trPr>
        <w:tc>
          <w:tcPr>
            <w:tcW w:w="988" w:type="pct"/>
            <w:tcBorders>
              <w:top w:val="nil"/>
              <w:left w:val="single" w:sz="4" w:space="0" w:color="auto"/>
              <w:bottom w:val="single" w:sz="4" w:space="0" w:color="auto"/>
              <w:right w:val="single" w:sz="4" w:space="0" w:color="auto"/>
            </w:tcBorders>
            <w:noWrap/>
            <w:vAlign w:val="bottom"/>
            <w:hideMark/>
          </w:tcPr>
          <w:p w14:paraId="07DD0CBA"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 </w:t>
            </w:r>
          </w:p>
        </w:tc>
        <w:tc>
          <w:tcPr>
            <w:tcW w:w="844" w:type="pct"/>
            <w:tcBorders>
              <w:top w:val="nil"/>
              <w:left w:val="nil"/>
              <w:bottom w:val="single" w:sz="4" w:space="0" w:color="auto"/>
              <w:right w:val="single" w:sz="4" w:space="0" w:color="auto"/>
            </w:tcBorders>
            <w:noWrap/>
            <w:vAlign w:val="bottom"/>
            <w:hideMark/>
          </w:tcPr>
          <w:p w14:paraId="463DEA07"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 </w:t>
            </w:r>
          </w:p>
        </w:tc>
        <w:tc>
          <w:tcPr>
            <w:tcW w:w="1409" w:type="pct"/>
            <w:tcBorders>
              <w:top w:val="nil"/>
              <w:left w:val="nil"/>
              <w:bottom w:val="single" w:sz="4" w:space="0" w:color="auto"/>
              <w:right w:val="single" w:sz="4" w:space="0" w:color="auto"/>
            </w:tcBorders>
            <w:noWrap/>
            <w:vAlign w:val="bottom"/>
            <w:hideMark/>
          </w:tcPr>
          <w:p w14:paraId="5047D9B2"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 </w:t>
            </w:r>
          </w:p>
        </w:tc>
        <w:tc>
          <w:tcPr>
            <w:tcW w:w="634" w:type="pct"/>
            <w:tcBorders>
              <w:top w:val="nil"/>
              <w:left w:val="nil"/>
              <w:bottom w:val="single" w:sz="4" w:space="0" w:color="auto"/>
              <w:right w:val="single" w:sz="4" w:space="0" w:color="auto"/>
            </w:tcBorders>
            <w:noWrap/>
            <w:vAlign w:val="bottom"/>
            <w:hideMark/>
          </w:tcPr>
          <w:p w14:paraId="6F77629E"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 </w:t>
            </w:r>
          </w:p>
        </w:tc>
        <w:tc>
          <w:tcPr>
            <w:tcW w:w="633" w:type="pct"/>
            <w:tcBorders>
              <w:top w:val="nil"/>
              <w:left w:val="nil"/>
              <w:bottom w:val="single" w:sz="4" w:space="0" w:color="auto"/>
              <w:right w:val="single" w:sz="4" w:space="0" w:color="auto"/>
            </w:tcBorders>
            <w:noWrap/>
            <w:vAlign w:val="bottom"/>
            <w:hideMark/>
          </w:tcPr>
          <w:p w14:paraId="520F4940"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 </w:t>
            </w:r>
          </w:p>
        </w:tc>
        <w:tc>
          <w:tcPr>
            <w:tcW w:w="493" w:type="pct"/>
            <w:tcBorders>
              <w:top w:val="nil"/>
              <w:left w:val="nil"/>
              <w:bottom w:val="single" w:sz="4" w:space="0" w:color="auto"/>
              <w:right w:val="single" w:sz="4" w:space="0" w:color="auto"/>
            </w:tcBorders>
            <w:noWrap/>
            <w:vAlign w:val="bottom"/>
            <w:hideMark/>
          </w:tcPr>
          <w:p w14:paraId="2F79EDD9"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 </w:t>
            </w:r>
          </w:p>
        </w:tc>
      </w:tr>
      <w:tr w:rsidR="00842A15" w:rsidRPr="00291BF0" w14:paraId="58DC7609" w14:textId="77777777" w:rsidTr="26B34547">
        <w:trPr>
          <w:trHeight w:val="252"/>
        </w:trPr>
        <w:tc>
          <w:tcPr>
            <w:tcW w:w="988" w:type="pct"/>
            <w:tcBorders>
              <w:top w:val="nil"/>
              <w:left w:val="single" w:sz="4" w:space="0" w:color="auto"/>
              <w:bottom w:val="single" w:sz="4" w:space="0" w:color="auto"/>
              <w:right w:val="single" w:sz="4" w:space="0" w:color="auto"/>
            </w:tcBorders>
            <w:noWrap/>
            <w:vAlign w:val="bottom"/>
            <w:hideMark/>
          </w:tcPr>
          <w:p w14:paraId="532D3FF5"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Misleading ICT/Telecommunications Advertising and Promotions</w:t>
            </w:r>
          </w:p>
        </w:tc>
        <w:tc>
          <w:tcPr>
            <w:tcW w:w="844" w:type="pct"/>
            <w:tcBorders>
              <w:top w:val="nil"/>
              <w:left w:val="nil"/>
              <w:bottom w:val="single" w:sz="4" w:space="0" w:color="auto"/>
              <w:right w:val="single" w:sz="4" w:space="0" w:color="auto"/>
            </w:tcBorders>
            <w:noWrap/>
            <w:vAlign w:val="bottom"/>
            <w:hideMark/>
          </w:tcPr>
          <w:p w14:paraId="09FB8BD3"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 </w:t>
            </w:r>
          </w:p>
        </w:tc>
        <w:tc>
          <w:tcPr>
            <w:tcW w:w="1409" w:type="pct"/>
            <w:tcBorders>
              <w:top w:val="nil"/>
              <w:left w:val="nil"/>
              <w:bottom w:val="single" w:sz="4" w:space="0" w:color="auto"/>
              <w:right w:val="single" w:sz="4" w:space="0" w:color="auto"/>
            </w:tcBorders>
            <w:noWrap/>
            <w:vAlign w:val="bottom"/>
            <w:hideMark/>
          </w:tcPr>
          <w:p w14:paraId="122FCDC2"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 </w:t>
            </w:r>
          </w:p>
        </w:tc>
        <w:tc>
          <w:tcPr>
            <w:tcW w:w="634" w:type="pct"/>
            <w:tcBorders>
              <w:top w:val="nil"/>
              <w:left w:val="nil"/>
              <w:bottom w:val="single" w:sz="4" w:space="0" w:color="auto"/>
              <w:right w:val="single" w:sz="4" w:space="0" w:color="auto"/>
            </w:tcBorders>
            <w:noWrap/>
            <w:vAlign w:val="bottom"/>
            <w:hideMark/>
          </w:tcPr>
          <w:p w14:paraId="4EF5567B"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3</w:t>
            </w:r>
          </w:p>
        </w:tc>
        <w:tc>
          <w:tcPr>
            <w:tcW w:w="633" w:type="pct"/>
            <w:tcBorders>
              <w:top w:val="nil"/>
              <w:left w:val="nil"/>
              <w:bottom w:val="single" w:sz="4" w:space="0" w:color="auto"/>
              <w:right w:val="single" w:sz="4" w:space="0" w:color="auto"/>
            </w:tcBorders>
            <w:noWrap/>
            <w:vAlign w:val="bottom"/>
            <w:hideMark/>
          </w:tcPr>
          <w:p w14:paraId="35037FB5"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2</w:t>
            </w:r>
          </w:p>
        </w:tc>
        <w:tc>
          <w:tcPr>
            <w:tcW w:w="493" w:type="pct"/>
            <w:tcBorders>
              <w:top w:val="nil"/>
              <w:left w:val="nil"/>
              <w:bottom w:val="single" w:sz="4" w:space="0" w:color="auto"/>
              <w:right w:val="single" w:sz="4" w:space="0" w:color="auto"/>
            </w:tcBorders>
            <w:noWrap/>
            <w:vAlign w:val="bottom"/>
            <w:hideMark/>
          </w:tcPr>
          <w:p w14:paraId="6247001E"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1</w:t>
            </w:r>
          </w:p>
        </w:tc>
      </w:tr>
      <w:tr w:rsidR="00842A15" w:rsidRPr="00291BF0" w14:paraId="6BD6E4D7" w14:textId="77777777" w:rsidTr="26B34547">
        <w:trPr>
          <w:trHeight w:val="252"/>
        </w:trPr>
        <w:tc>
          <w:tcPr>
            <w:tcW w:w="988" w:type="pct"/>
            <w:tcBorders>
              <w:top w:val="nil"/>
              <w:left w:val="single" w:sz="4" w:space="0" w:color="auto"/>
              <w:bottom w:val="single" w:sz="4" w:space="0" w:color="auto"/>
              <w:right w:val="single" w:sz="4" w:space="0" w:color="auto"/>
            </w:tcBorders>
            <w:noWrap/>
            <w:vAlign w:val="bottom"/>
            <w:hideMark/>
          </w:tcPr>
          <w:p w14:paraId="1CA909C5"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 </w:t>
            </w:r>
          </w:p>
        </w:tc>
        <w:tc>
          <w:tcPr>
            <w:tcW w:w="844" w:type="pct"/>
            <w:tcBorders>
              <w:top w:val="nil"/>
              <w:left w:val="nil"/>
              <w:bottom w:val="single" w:sz="4" w:space="0" w:color="auto"/>
              <w:right w:val="single" w:sz="4" w:space="0" w:color="auto"/>
            </w:tcBorders>
            <w:noWrap/>
            <w:vAlign w:val="bottom"/>
            <w:hideMark/>
          </w:tcPr>
          <w:p w14:paraId="1BE87D85"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 </w:t>
            </w:r>
          </w:p>
        </w:tc>
        <w:tc>
          <w:tcPr>
            <w:tcW w:w="1409" w:type="pct"/>
            <w:tcBorders>
              <w:top w:val="nil"/>
              <w:left w:val="nil"/>
              <w:bottom w:val="single" w:sz="4" w:space="0" w:color="auto"/>
              <w:right w:val="single" w:sz="4" w:space="0" w:color="auto"/>
            </w:tcBorders>
            <w:noWrap/>
            <w:vAlign w:val="bottom"/>
            <w:hideMark/>
          </w:tcPr>
          <w:p w14:paraId="41241E93"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 </w:t>
            </w:r>
          </w:p>
        </w:tc>
        <w:tc>
          <w:tcPr>
            <w:tcW w:w="634" w:type="pct"/>
            <w:tcBorders>
              <w:top w:val="nil"/>
              <w:left w:val="nil"/>
              <w:bottom w:val="single" w:sz="4" w:space="0" w:color="auto"/>
              <w:right w:val="single" w:sz="4" w:space="0" w:color="auto"/>
            </w:tcBorders>
            <w:noWrap/>
            <w:vAlign w:val="bottom"/>
            <w:hideMark/>
          </w:tcPr>
          <w:p w14:paraId="21B5BD47"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 </w:t>
            </w:r>
          </w:p>
        </w:tc>
        <w:tc>
          <w:tcPr>
            <w:tcW w:w="633" w:type="pct"/>
            <w:tcBorders>
              <w:top w:val="nil"/>
              <w:left w:val="nil"/>
              <w:bottom w:val="single" w:sz="4" w:space="0" w:color="auto"/>
              <w:right w:val="single" w:sz="4" w:space="0" w:color="auto"/>
            </w:tcBorders>
            <w:noWrap/>
            <w:vAlign w:val="bottom"/>
            <w:hideMark/>
          </w:tcPr>
          <w:p w14:paraId="542B1865"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 </w:t>
            </w:r>
          </w:p>
        </w:tc>
        <w:tc>
          <w:tcPr>
            <w:tcW w:w="493" w:type="pct"/>
            <w:tcBorders>
              <w:top w:val="nil"/>
              <w:left w:val="nil"/>
              <w:bottom w:val="single" w:sz="4" w:space="0" w:color="auto"/>
              <w:right w:val="single" w:sz="4" w:space="0" w:color="auto"/>
            </w:tcBorders>
            <w:noWrap/>
            <w:vAlign w:val="bottom"/>
            <w:hideMark/>
          </w:tcPr>
          <w:p w14:paraId="1453BF19"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 </w:t>
            </w:r>
          </w:p>
        </w:tc>
      </w:tr>
      <w:tr w:rsidR="00842A15" w:rsidRPr="00291BF0" w14:paraId="7D749F72" w14:textId="77777777" w:rsidTr="26B34547">
        <w:trPr>
          <w:trHeight w:val="252"/>
        </w:trPr>
        <w:tc>
          <w:tcPr>
            <w:tcW w:w="988" w:type="pct"/>
            <w:tcBorders>
              <w:top w:val="nil"/>
              <w:left w:val="single" w:sz="4" w:space="0" w:color="auto"/>
              <w:bottom w:val="single" w:sz="4" w:space="0" w:color="auto"/>
              <w:right w:val="single" w:sz="4" w:space="0" w:color="auto"/>
            </w:tcBorders>
            <w:noWrap/>
            <w:vAlign w:val="bottom"/>
            <w:hideMark/>
          </w:tcPr>
          <w:p w14:paraId="2E16063D"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Digital Financial Services and Mobile Money</w:t>
            </w:r>
          </w:p>
        </w:tc>
        <w:tc>
          <w:tcPr>
            <w:tcW w:w="844" w:type="pct"/>
            <w:tcBorders>
              <w:top w:val="nil"/>
              <w:left w:val="nil"/>
              <w:bottom w:val="single" w:sz="4" w:space="0" w:color="auto"/>
              <w:right w:val="single" w:sz="4" w:space="0" w:color="auto"/>
            </w:tcBorders>
            <w:noWrap/>
            <w:vAlign w:val="bottom"/>
            <w:hideMark/>
          </w:tcPr>
          <w:p w14:paraId="1DFA2ED9"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 </w:t>
            </w:r>
          </w:p>
        </w:tc>
        <w:tc>
          <w:tcPr>
            <w:tcW w:w="1409" w:type="pct"/>
            <w:tcBorders>
              <w:top w:val="nil"/>
              <w:left w:val="nil"/>
              <w:bottom w:val="single" w:sz="4" w:space="0" w:color="auto"/>
              <w:right w:val="single" w:sz="4" w:space="0" w:color="auto"/>
            </w:tcBorders>
            <w:noWrap/>
            <w:vAlign w:val="bottom"/>
            <w:hideMark/>
          </w:tcPr>
          <w:p w14:paraId="21E408C2"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 </w:t>
            </w:r>
          </w:p>
        </w:tc>
        <w:tc>
          <w:tcPr>
            <w:tcW w:w="634" w:type="pct"/>
            <w:tcBorders>
              <w:top w:val="nil"/>
              <w:left w:val="nil"/>
              <w:bottom w:val="single" w:sz="4" w:space="0" w:color="auto"/>
              <w:right w:val="single" w:sz="4" w:space="0" w:color="auto"/>
            </w:tcBorders>
            <w:noWrap/>
            <w:vAlign w:val="bottom"/>
            <w:hideMark/>
          </w:tcPr>
          <w:p w14:paraId="4430D0B8"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110</w:t>
            </w:r>
          </w:p>
        </w:tc>
        <w:tc>
          <w:tcPr>
            <w:tcW w:w="633" w:type="pct"/>
            <w:tcBorders>
              <w:top w:val="nil"/>
              <w:left w:val="nil"/>
              <w:bottom w:val="single" w:sz="4" w:space="0" w:color="auto"/>
              <w:right w:val="single" w:sz="4" w:space="0" w:color="auto"/>
            </w:tcBorders>
            <w:noWrap/>
            <w:vAlign w:val="bottom"/>
            <w:hideMark/>
          </w:tcPr>
          <w:p w14:paraId="1FC3FF4F"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109</w:t>
            </w:r>
          </w:p>
        </w:tc>
        <w:tc>
          <w:tcPr>
            <w:tcW w:w="493" w:type="pct"/>
            <w:tcBorders>
              <w:top w:val="nil"/>
              <w:left w:val="nil"/>
              <w:bottom w:val="single" w:sz="4" w:space="0" w:color="auto"/>
              <w:right w:val="single" w:sz="4" w:space="0" w:color="auto"/>
            </w:tcBorders>
            <w:noWrap/>
            <w:vAlign w:val="bottom"/>
            <w:hideMark/>
          </w:tcPr>
          <w:p w14:paraId="3D2632B8"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1</w:t>
            </w:r>
          </w:p>
        </w:tc>
      </w:tr>
      <w:tr w:rsidR="00842A15" w:rsidRPr="00291BF0" w14:paraId="1AB1BB6B" w14:textId="77777777" w:rsidTr="26B34547">
        <w:trPr>
          <w:trHeight w:val="252"/>
        </w:trPr>
        <w:tc>
          <w:tcPr>
            <w:tcW w:w="988" w:type="pct"/>
            <w:tcBorders>
              <w:top w:val="nil"/>
              <w:left w:val="single" w:sz="4" w:space="0" w:color="auto"/>
              <w:bottom w:val="single" w:sz="4" w:space="0" w:color="auto"/>
              <w:right w:val="single" w:sz="4" w:space="0" w:color="auto"/>
            </w:tcBorders>
            <w:noWrap/>
            <w:vAlign w:val="bottom"/>
            <w:hideMark/>
          </w:tcPr>
          <w:p w14:paraId="7E15DA1D"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Warranties and Guaranties/Compensation mechanisms</w:t>
            </w:r>
          </w:p>
        </w:tc>
        <w:tc>
          <w:tcPr>
            <w:tcW w:w="844" w:type="pct"/>
            <w:tcBorders>
              <w:top w:val="nil"/>
              <w:left w:val="nil"/>
              <w:bottom w:val="single" w:sz="4" w:space="0" w:color="auto"/>
              <w:right w:val="single" w:sz="4" w:space="0" w:color="auto"/>
            </w:tcBorders>
            <w:noWrap/>
            <w:vAlign w:val="bottom"/>
            <w:hideMark/>
          </w:tcPr>
          <w:p w14:paraId="275D748F"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 </w:t>
            </w:r>
          </w:p>
        </w:tc>
        <w:tc>
          <w:tcPr>
            <w:tcW w:w="1409" w:type="pct"/>
            <w:tcBorders>
              <w:top w:val="nil"/>
              <w:left w:val="nil"/>
              <w:bottom w:val="single" w:sz="4" w:space="0" w:color="auto"/>
              <w:right w:val="single" w:sz="4" w:space="0" w:color="auto"/>
            </w:tcBorders>
            <w:noWrap/>
            <w:vAlign w:val="bottom"/>
            <w:hideMark/>
          </w:tcPr>
          <w:p w14:paraId="474D6CB0"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 </w:t>
            </w:r>
          </w:p>
        </w:tc>
        <w:tc>
          <w:tcPr>
            <w:tcW w:w="634" w:type="pct"/>
            <w:tcBorders>
              <w:top w:val="nil"/>
              <w:left w:val="nil"/>
              <w:bottom w:val="single" w:sz="4" w:space="0" w:color="auto"/>
              <w:right w:val="single" w:sz="4" w:space="0" w:color="auto"/>
            </w:tcBorders>
            <w:noWrap/>
            <w:vAlign w:val="bottom"/>
            <w:hideMark/>
          </w:tcPr>
          <w:p w14:paraId="004F7482"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4</w:t>
            </w:r>
          </w:p>
        </w:tc>
        <w:tc>
          <w:tcPr>
            <w:tcW w:w="633" w:type="pct"/>
            <w:tcBorders>
              <w:top w:val="nil"/>
              <w:left w:val="nil"/>
              <w:bottom w:val="single" w:sz="4" w:space="0" w:color="auto"/>
              <w:right w:val="single" w:sz="4" w:space="0" w:color="auto"/>
            </w:tcBorders>
            <w:noWrap/>
            <w:vAlign w:val="bottom"/>
            <w:hideMark/>
          </w:tcPr>
          <w:p w14:paraId="0335472B"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4</w:t>
            </w:r>
          </w:p>
        </w:tc>
        <w:tc>
          <w:tcPr>
            <w:tcW w:w="493" w:type="pct"/>
            <w:tcBorders>
              <w:top w:val="nil"/>
              <w:left w:val="nil"/>
              <w:bottom w:val="single" w:sz="4" w:space="0" w:color="auto"/>
              <w:right w:val="single" w:sz="4" w:space="0" w:color="auto"/>
            </w:tcBorders>
            <w:noWrap/>
            <w:vAlign w:val="bottom"/>
            <w:hideMark/>
          </w:tcPr>
          <w:p w14:paraId="2DF7E8FB"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0</w:t>
            </w:r>
          </w:p>
        </w:tc>
      </w:tr>
      <w:tr w:rsidR="00842A15" w:rsidRPr="00291BF0" w14:paraId="484BA1AD" w14:textId="77777777" w:rsidTr="26B34547">
        <w:trPr>
          <w:trHeight w:val="252"/>
        </w:trPr>
        <w:tc>
          <w:tcPr>
            <w:tcW w:w="988" w:type="pct"/>
            <w:tcBorders>
              <w:top w:val="nil"/>
              <w:left w:val="single" w:sz="4" w:space="0" w:color="auto"/>
              <w:bottom w:val="single" w:sz="4" w:space="0" w:color="auto"/>
              <w:right w:val="single" w:sz="4" w:space="0" w:color="auto"/>
            </w:tcBorders>
            <w:noWrap/>
            <w:vAlign w:val="bottom"/>
            <w:hideMark/>
          </w:tcPr>
          <w:p w14:paraId="2F6FAE15"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 </w:t>
            </w:r>
          </w:p>
        </w:tc>
        <w:tc>
          <w:tcPr>
            <w:tcW w:w="844" w:type="pct"/>
            <w:tcBorders>
              <w:top w:val="nil"/>
              <w:left w:val="nil"/>
              <w:bottom w:val="single" w:sz="4" w:space="0" w:color="auto"/>
              <w:right w:val="single" w:sz="4" w:space="0" w:color="auto"/>
            </w:tcBorders>
            <w:noWrap/>
            <w:vAlign w:val="bottom"/>
            <w:hideMark/>
          </w:tcPr>
          <w:p w14:paraId="6A763248"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 </w:t>
            </w:r>
          </w:p>
        </w:tc>
        <w:tc>
          <w:tcPr>
            <w:tcW w:w="1409" w:type="pct"/>
            <w:tcBorders>
              <w:top w:val="nil"/>
              <w:left w:val="nil"/>
              <w:bottom w:val="single" w:sz="4" w:space="0" w:color="auto"/>
              <w:right w:val="single" w:sz="4" w:space="0" w:color="auto"/>
            </w:tcBorders>
            <w:noWrap/>
            <w:vAlign w:val="bottom"/>
            <w:hideMark/>
          </w:tcPr>
          <w:p w14:paraId="5373E3C3"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 </w:t>
            </w:r>
          </w:p>
        </w:tc>
        <w:tc>
          <w:tcPr>
            <w:tcW w:w="634" w:type="pct"/>
            <w:tcBorders>
              <w:top w:val="nil"/>
              <w:left w:val="nil"/>
              <w:bottom w:val="single" w:sz="4" w:space="0" w:color="auto"/>
              <w:right w:val="single" w:sz="4" w:space="0" w:color="auto"/>
            </w:tcBorders>
            <w:noWrap/>
            <w:vAlign w:val="bottom"/>
            <w:hideMark/>
          </w:tcPr>
          <w:p w14:paraId="1FF58BC7"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 </w:t>
            </w:r>
          </w:p>
        </w:tc>
        <w:tc>
          <w:tcPr>
            <w:tcW w:w="633" w:type="pct"/>
            <w:tcBorders>
              <w:top w:val="nil"/>
              <w:left w:val="nil"/>
              <w:bottom w:val="single" w:sz="4" w:space="0" w:color="auto"/>
              <w:right w:val="single" w:sz="4" w:space="0" w:color="auto"/>
            </w:tcBorders>
            <w:noWrap/>
            <w:vAlign w:val="bottom"/>
            <w:hideMark/>
          </w:tcPr>
          <w:p w14:paraId="2A002643"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 </w:t>
            </w:r>
          </w:p>
        </w:tc>
        <w:tc>
          <w:tcPr>
            <w:tcW w:w="493" w:type="pct"/>
            <w:tcBorders>
              <w:top w:val="nil"/>
              <w:left w:val="nil"/>
              <w:bottom w:val="single" w:sz="4" w:space="0" w:color="auto"/>
              <w:right w:val="single" w:sz="4" w:space="0" w:color="auto"/>
            </w:tcBorders>
            <w:noWrap/>
            <w:vAlign w:val="bottom"/>
            <w:hideMark/>
          </w:tcPr>
          <w:p w14:paraId="62C8B16E"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 </w:t>
            </w:r>
          </w:p>
        </w:tc>
      </w:tr>
      <w:tr w:rsidR="00842A15" w:rsidRPr="00291BF0" w14:paraId="66896378" w14:textId="77777777" w:rsidTr="26B34547">
        <w:trPr>
          <w:trHeight w:val="252"/>
        </w:trPr>
        <w:tc>
          <w:tcPr>
            <w:tcW w:w="988" w:type="pct"/>
            <w:tcBorders>
              <w:top w:val="nil"/>
              <w:left w:val="single" w:sz="4" w:space="0" w:color="auto"/>
              <w:bottom w:val="single" w:sz="4" w:space="0" w:color="auto"/>
              <w:right w:val="single" w:sz="4" w:space="0" w:color="auto"/>
            </w:tcBorders>
            <w:noWrap/>
            <w:vAlign w:val="bottom"/>
            <w:hideMark/>
          </w:tcPr>
          <w:p w14:paraId="18864616"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Fraud and Scams</w:t>
            </w:r>
          </w:p>
        </w:tc>
        <w:tc>
          <w:tcPr>
            <w:tcW w:w="844" w:type="pct"/>
            <w:tcBorders>
              <w:top w:val="nil"/>
              <w:left w:val="nil"/>
              <w:bottom w:val="single" w:sz="4" w:space="0" w:color="auto"/>
              <w:right w:val="single" w:sz="4" w:space="0" w:color="auto"/>
            </w:tcBorders>
            <w:noWrap/>
            <w:vAlign w:val="bottom"/>
            <w:hideMark/>
          </w:tcPr>
          <w:p w14:paraId="723B8478"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 </w:t>
            </w:r>
          </w:p>
        </w:tc>
        <w:tc>
          <w:tcPr>
            <w:tcW w:w="1409" w:type="pct"/>
            <w:tcBorders>
              <w:top w:val="nil"/>
              <w:left w:val="nil"/>
              <w:bottom w:val="single" w:sz="4" w:space="0" w:color="auto"/>
              <w:right w:val="single" w:sz="4" w:space="0" w:color="auto"/>
            </w:tcBorders>
            <w:noWrap/>
            <w:vAlign w:val="bottom"/>
            <w:hideMark/>
          </w:tcPr>
          <w:p w14:paraId="7055DE8F"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 </w:t>
            </w:r>
          </w:p>
        </w:tc>
        <w:tc>
          <w:tcPr>
            <w:tcW w:w="634" w:type="pct"/>
            <w:tcBorders>
              <w:top w:val="nil"/>
              <w:left w:val="nil"/>
              <w:bottom w:val="single" w:sz="4" w:space="0" w:color="auto"/>
              <w:right w:val="single" w:sz="4" w:space="0" w:color="auto"/>
            </w:tcBorders>
            <w:noWrap/>
            <w:vAlign w:val="bottom"/>
            <w:hideMark/>
          </w:tcPr>
          <w:p w14:paraId="2948149A"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86</w:t>
            </w:r>
          </w:p>
        </w:tc>
        <w:tc>
          <w:tcPr>
            <w:tcW w:w="633" w:type="pct"/>
            <w:tcBorders>
              <w:top w:val="nil"/>
              <w:left w:val="nil"/>
              <w:bottom w:val="single" w:sz="4" w:space="0" w:color="auto"/>
              <w:right w:val="single" w:sz="4" w:space="0" w:color="auto"/>
            </w:tcBorders>
            <w:noWrap/>
            <w:vAlign w:val="bottom"/>
            <w:hideMark/>
          </w:tcPr>
          <w:p w14:paraId="4D4B2D23"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81</w:t>
            </w:r>
          </w:p>
        </w:tc>
        <w:tc>
          <w:tcPr>
            <w:tcW w:w="493" w:type="pct"/>
            <w:tcBorders>
              <w:top w:val="nil"/>
              <w:left w:val="nil"/>
              <w:bottom w:val="single" w:sz="4" w:space="0" w:color="auto"/>
              <w:right w:val="single" w:sz="4" w:space="0" w:color="auto"/>
            </w:tcBorders>
            <w:noWrap/>
            <w:vAlign w:val="bottom"/>
            <w:hideMark/>
          </w:tcPr>
          <w:p w14:paraId="580F85B5"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5</w:t>
            </w:r>
          </w:p>
        </w:tc>
      </w:tr>
      <w:tr w:rsidR="00842A15" w:rsidRPr="00291BF0" w14:paraId="0BD2E03D" w14:textId="77777777" w:rsidTr="26B34547">
        <w:trPr>
          <w:trHeight w:val="252"/>
        </w:trPr>
        <w:tc>
          <w:tcPr>
            <w:tcW w:w="988" w:type="pct"/>
            <w:tcBorders>
              <w:top w:val="nil"/>
              <w:left w:val="single" w:sz="4" w:space="0" w:color="auto"/>
              <w:bottom w:val="single" w:sz="4" w:space="0" w:color="auto"/>
              <w:right w:val="single" w:sz="4" w:space="0" w:color="auto"/>
            </w:tcBorders>
            <w:noWrap/>
            <w:vAlign w:val="bottom"/>
            <w:hideMark/>
          </w:tcPr>
          <w:p w14:paraId="3FB9CFF4"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 </w:t>
            </w:r>
          </w:p>
        </w:tc>
        <w:tc>
          <w:tcPr>
            <w:tcW w:w="844" w:type="pct"/>
            <w:tcBorders>
              <w:top w:val="nil"/>
              <w:left w:val="nil"/>
              <w:bottom w:val="single" w:sz="4" w:space="0" w:color="auto"/>
              <w:right w:val="single" w:sz="4" w:space="0" w:color="auto"/>
            </w:tcBorders>
            <w:noWrap/>
            <w:vAlign w:val="bottom"/>
            <w:hideMark/>
          </w:tcPr>
          <w:p w14:paraId="566BA9EB"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 </w:t>
            </w:r>
          </w:p>
        </w:tc>
        <w:tc>
          <w:tcPr>
            <w:tcW w:w="1409" w:type="pct"/>
            <w:tcBorders>
              <w:top w:val="nil"/>
              <w:left w:val="nil"/>
              <w:bottom w:val="single" w:sz="4" w:space="0" w:color="auto"/>
              <w:right w:val="single" w:sz="4" w:space="0" w:color="auto"/>
            </w:tcBorders>
            <w:noWrap/>
            <w:vAlign w:val="bottom"/>
            <w:hideMark/>
          </w:tcPr>
          <w:p w14:paraId="7B6273E2"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 </w:t>
            </w:r>
          </w:p>
        </w:tc>
        <w:tc>
          <w:tcPr>
            <w:tcW w:w="634" w:type="pct"/>
            <w:tcBorders>
              <w:top w:val="nil"/>
              <w:left w:val="nil"/>
              <w:bottom w:val="single" w:sz="4" w:space="0" w:color="auto"/>
              <w:right w:val="single" w:sz="4" w:space="0" w:color="auto"/>
            </w:tcBorders>
            <w:noWrap/>
            <w:vAlign w:val="bottom"/>
            <w:hideMark/>
          </w:tcPr>
          <w:p w14:paraId="0B04AB4D"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 </w:t>
            </w:r>
          </w:p>
        </w:tc>
        <w:tc>
          <w:tcPr>
            <w:tcW w:w="633" w:type="pct"/>
            <w:tcBorders>
              <w:top w:val="nil"/>
              <w:left w:val="nil"/>
              <w:bottom w:val="single" w:sz="4" w:space="0" w:color="auto"/>
              <w:right w:val="single" w:sz="4" w:space="0" w:color="auto"/>
            </w:tcBorders>
            <w:noWrap/>
            <w:vAlign w:val="bottom"/>
            <w:hideMark/>
          </w:tcPr>
          <w:p w14:paraId="4D2C68BC"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 </w:t>
            </w:r>
          </w:p>
        </w:tc>
        <w:tc>
          <w:tcPr>
            <w:tcW w:w="493" w:type="pct"/>
            <w:tcBorders>
              <w:top w:val="nil"/>
              <w:left w:val="nil"/>
              <w:bottom w:val="single" w:sz="4" w:space="0" w:color="auto"/>
              <w:right w:val="single" w:sz="4" w:space="0" w:color="auto"/>
            </w:tcBorders>
            <w:noWrap/>
            <w:vAlign w:val="bottom"/>
            <w:hideMark/>
          </w:tcPr>
          <w:p w14:paraId="3BBAE43E"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 </w:t>
            </w:r>
          </w:p>
        </w:tc>
      </w:tr>
      <w:tr w:rsidR="00842A15" w:rsidRPr="00291BF0" w14:paraId="16ABBECC" w14:textId="77777777" w:rsidTr="26B34547">
        <w:trPr>
          <w:trHeight w:val="252"/>
        </w:trPr>
        <w:tc>
          <w:tcPr>
            <w:tcW w:w="988" w:type="pct"/>
            <w:tcBorders>
              <w:top w:val="nil"/>
              <w:left w:val="single" w:sz="4" w:space="0" w:color="auto"/>
              <w:bottom w:val="single" w:sz="4" w:space="0" w:color="auto"/>
              <w:right w:val="single" w:sz="4" w:space="0" w:color="auto"/>
            </w:tcBorders>
            <w:noWrap/>
            <w:vAlign w:val="bottom"/>
            <w:hideMark/>
          </w:tcPr>
          <w:p w14:paraId="33F1431A"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Others</w:t>
            </w:r>
          </w:p>
        </w:tc>
        <w:tc>
          <w:tcPr>
            <w:tcW w:w="844" w:type="pct"/>
            <w:tcBorders>
              <w:top w:val="nil"/>
              <w:left w:val="nil"/>
              <w:bottom w:val="single" w:sz="4" w:space="0" w:color="auto"/>
              <w:right w:val="single" w:sz="4" w:space="0" w:color="auto"/>
            </w:tcBorders>
            <w:noWrap/>
            <w:vAlign w:val="bottom"/>
            <w:hideMark/>
          </w:tcPr>
          <w:p w14:paraId="49A80619"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 </w:t>
            </w:r>
          </w:p>
        </w:tc>
        <w:tc>
          <w:tcPr>
            <w:tcW w:w="1409" w:type="pct"/>
            <w:tcBorders>
              <w:top w:val="nil"/>
              <w:left w:val="nil"/>
              <w:bottom w:val="single" w:sz="4" w:space="0" w:color="auto"/>
              <w:right w:val="single" w:sz="4" w:space="0" w:color="auto"/>
            </w:tcBorders>
            <w:noWrap/>
            <w:vAlign w:val="bottom"/>
            <w:hideMark/>
          </w:tcPr>
          <w:p w14:paraId="4DFEDC20"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 </w:t>
            </w:r>
          </w:p>
        </w:tc>
        <w:tc>
          <w:tcPr>
            <w:tcW w:w="634" w:type="pct"/>
            <w:tcBorders>
              <w:top w:val="nil"/>
              <w:left w:val="nil"/>
              <w:bottom w:val="single" w:sz="4" w:space="0" w:color="auto"/>
              <w:right w:val="single" w:sz="4" w:space="0" w:color="auto"/>
            </w:tcBorders>
            <w:noWrap/>
            <w:vAlign w:val="bottom"/>
            <w:hideMark/>
          </w:tcPr>
          <w:p w14:paraId="454F98CF"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37</w:t>
            </w:r>
          </w:p>
        </w:tc>
        <w:tc>
          <w:tcPr>
            <w:tcW w:w="633" w:type="pct"/>
            <w:tcBorders>
              <w:top w:val="nil"/>
              <w:left w:val="nil"/>
              <w:bottom w:val="single" w:sz="4" w:space="0" w:color="auto"/>
              <w:right w:val="single" w:sz="4" w:space="0" w:color="auto"/>
            </w:tcBorders>
            <w:noWrap/>
            <w:vAlign w:val="bottom"/>
            <w:hideMark/>
          </w:tcPr>
          <w:p w14:paraId="19A6073B"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36</w:t>
            </w:r>
          </w:p>
        </w:tc>
        <w:tc>
          <w:tcPr>
            <w:tcW w:w="493" w:type="pct"/>
            <w:tcBorders>
              <w:top w:val="nil"/>
              <w:left w:val="nil"/>
              <w:bottom w:val="single" w:sz="4" w:space="0" w:color="auto"/>
              <w:right w:val="single" w:sz="4" w:space="0" w:color="auto"/>
            </w:tcBorders>
            <w:noWrap/>
            <w:vAlign w:val="bottom"/>
            <w:hideMark/>
          </w:tcPr>
          <w:p w14:paraId="11702798"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1</w:t>
            </w:r>
          </w:p>
        </w:tc>
      </w:tr>
      <w:tr w:rsidR="00842A15" w:rsidRPr="00291BF0" w14:paraId="42A9FC3F" w14:textId="77777777" w:rsidTr="26B34547">
        <w:trPr>
          <w:trHeight w:val="252"/>
        </w:trPr>
        <w:tc>
          <w:tcPr>
            <w:tcW w:w="988" w:type="pct"/>
            <w:tcBorders>
              <w:top w:val="nil"/>
              <w:left w:val="single" w:sz="4" w:space="0" w:color="auto"/>
              <w:bottom w:val="single" w:sz="4" w:space="0" w:color="auto"/>
              <w:right w:val="single" w:sz="4" w:space="0" w:color="auto"/>
            </w:tcBorders>
            <w:noWrap/>
            <w:vAlign w:val="bottom"/>
            <w:hideMark/>
          </w:tcPr>
          <w:p w14:paraId="55C36403"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 </w:t>
            </w:r>
          </w:p>
        </w:tc>
        <w:tc>
          <w:tcPr>
            <w:tcW w:w="844" w:type="pct"/>
            <w:tcBorders>
              <w:top w:val="nil"/>
              <w:left w:val="nil"/>
              <w:bottom w:val="single" w:sz="4" w:space="0" w:color="auto"/>
              <w:right w:val="single" w:sz="4" w:space="0" w:color="auto"/>
            </w:tcBorders>
            <w:noWrap/>
            <w:vAlign w:val="bottom"/>
            <w:hideMark/>
          </w:tcPr>
          <w:p w14:paraId="43E0A101"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 </w:t>
            </w:r>
          </w:p>
        </w:tc>
        <w:tc>
          <w:tcPr>
            <w:tcW w:w="1409" w:type="pct"/>
            <w:tcBorders>
              <w:top w:val="nil"/>
              <w:left w:val="nil"/>
              <w:bottom w:val="single" w:sz="4" w:space="0" w:color="auto"/>
              <w:right w:val="single" w:sz="4" w:space="0" w:color="auto"/>
            </w:tcBorders>
            <w:noWrap/>
            <w:vAlign w:val="bottom"/>
            <w:hideMark/>
          </w:tcPr>
          <w:p w14:paraId="1B8D7C02"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 </w:t>
            </w:r>
          </w:p>
        </w:tc>
        <w:tc>
          <w:tcPr>
            <w:tcW w:w="634" w:type="pct"/>
            <w:tcBorders>
              <w:top w:val="nil"/>
              <w:left w:val="nil"/>
              <w:bottom w:val="single" w:sz="4" w:space="0" w:color="auto"/>
              <w:right w:val="single" w:sz="4" w:space="0" w:color="auto"/>
            </w:tcBorders>
            <w:noWrap/>
            <w:vAlign w:val="bottom"/>
            <w:hideMark/>
          </w:tcPr>
          <w:p w14:paraId="1DDB07A2"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 </w:t>
            </w:r>
          </w:p>
        </w:tc>
        <w:tc>
          <w:tcPr>
            <w:tcW w:w="633" w:type="pct"/>
            <w:tcBorders>
              <w:top w:val="nil"/>
              <w:left w:val="nil"/>
              <w:bottom w:val="single" w:sz="4" w:space="0" w:color="auto"/>
              <w:right w:val="single" w:sz="4" w:space="0" w:color="auto"/>
            </w:tcBorders>
            <w:noWrap/>
            <w:vAlign w:val="bottom"/>
            <w:hideMark/>
          </w:tcPr>
          <w:p w14:paraId="76C0A073"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 </w:t>
            </w:r>
          </w:p>
        </w:tc>
        <w:tc>
          <w:tcPr>
            <w:tcW w:w="493" w:type="pct"/>
            <w:tcBorders>
              <w:top w:val="nil"/>
              <w:left w:val="nil"/>
              <w:bottom w:val="single" w:sz="4" w:space="0" w:color="auto"/>
              <w:right w:val="single" w:sz="4" w:space="0" w:color="auto"/>
            </w:tcBorders>
            <w:noWrap/>
            <w:vAlign w:val="bottom"/>
            <w:hideMark/>
          </w:tcPr>
          <w:p w14:paraId="56D84A5F" w14:textId="77777777" w:rsidR="00842A15" w:rsidRPr="00291BF0" w:rsidRDefault="00842A15" w:rsidP="00240F9B">
            <w:pPr>
              <w:widowControl/>
              <w:autoSpaceDE/>
              <w:autoSpaceDN/>
              <w:spacing w:before="100" w:beforeAutospacing="1" w:after="100" w:afterAutospacing="1" w:line="276" w:lineRule="auto"/>
              <w:jc w:val="both"/>
              <w:rPr>
                <w:color w:val="000000"/>
                <w:sz w:val="20"/>
                <w:szCs w:val="20"/>
                <w:lang w:eastAsia="en-GB"/>
              </w:rPr>
            </w:pPr>
            <w:r w:rsidRPr="00291BF0">
              <w:rPr>
                <w:color w:val="000000"/>
                <w:sz w:val="20"/>
                <w:szCs w:val="20"/>
                <w:lang w:eastAsia="en-GB"/>
              </w:rPr>
              <w:t> </w:t>
            </w:r>
          </w:p>
        </w:tc>
      </w:tr>
      <w:tr w:rsidR="00842A15" w:rsidRPr="00291BF0" w14:paraId="1F240B38" w14:textId="77777777" w:rsidTr="26B34547">
        <w:trPr>
          <w:trHeight w:val="252"/>
        </w:trPr>
        <w:tc>
          <w:tcPr>
            <w:tcW w:w="988" w:type="pct"/>
            <w:tcBorders>
              <w:top w:val="nil"/>
              <w:left w:val="single" w:sz="4" w:space="0" w:color="auto"/>
              <w:bottom w:val="single" w:sz="4" w:space="0" w:color="auto"/>
              <w:right w:val="single" w:sz="4" w:space="0" w:color="auto"/>
            </w:tcBorders>
            <w:noWrap/>
            <w:vAlign w:val="bottom"/>
            <w:hideMark/>
          </w:tcPr>
          <w:p w14:paraId="0E3EDFA5" w14:textId="77777777" w:rsidR="00842A15" w:rsidRPr="00291BF0" w:rsidRDefault="00842A15" w:rsidP="00240F9B">
            <w:pPr>
              <w:widowControl/>
              <w:autoSpaceDE/>
              <w:autoSpaceDN/>
              <w:spacing w:before="100" w:beforeAutospacing="1" w:after="100" w:afterAutospacing="1" w:line="276" w:lineRule="auto"/>
              <w:jc w:val="both"/>
              <w:rPr>
                <w:b/>
                <w:bCs/>
                <w:color w:val="000000"/>
                <w:sz w:val="20"/>
                <w:szCs w:val="20"/>
                <w:lang w:eastAsia="en-GB"/>
              </w:rPr>
            </w:pPr>
            <w:r w:rsidRPr="00291BF0">
              <w:rPr>
                <w:b/>
                <w:bCs/>
                <w:color w:val="000000"/>
                <w:sz w:val="20"/>
                <w:szCs w:val="20"/>
                <w:lang w:eastAsia="en-GB"/>
              </w:rPr>
              <w:t xml:space="preserve">Total </w:t>
            </w:r>
          </w:p>
        </w:tc>
        <w:tc>
          <w:tcPr>
            <w:tcW w:w="844" w:type="pct"/>
            <w:tcBorders>
              <w:top w:val="nil"/>
              <w:left w:val="nil"/>
              <w:bottom w:val="single" w:sz="4" w:space="0" w:color="auto"/>
              <w:right w:val="single" w:sz="4" w:space="0" w:color="auto"/>
            </w:tcBorders>
            <w:noWrap/>
            <w:vAlign w:val="bottom"/>
            <w:hideMark/>
          </w:tcPr>
          <w:p w14:paraId="1D167FDB" w14:textId="77777777" w:rsidR="00842A15" w:rsidRPr="00291BF0" w:rsidRDefault="00842A15" w:rsidP="00240F9B">
            <w:pPr>
              <w:widowControl/>
              <w:autoSpaceDE/>
              <w:autoSpaceDN/>
              <w:spacing w:before="100" w:beforeAutospacing="1" w:after="100" w:afterAutospacing="1" w:line="276" w:lineRule="auto"/>
              <w:jc w:val="both"/>
              <w:rPr>
                <w:b/>
                <w:bCs/>
                <w:color w:val="000000"/>
                <w:sz w:val="20"/>
                <w:szCs w:val="20"/>
                <w:lang w:eastAsia="en-GB"/>
              </w:rPr>
            </w:pPr>
            <w:r w:rsidRPr="00291BF0">
              <w:rPr>
                <w:b/>
                <w:bCs/>
                <w:color w:val="000000"/>
                <w:sz w:val="20"/>
                <w:szCs w:val="20"/>
                <w:lang w:eastAsia="en-GB"/>
              </w:rPr>
              <w:t> </w:t>
            </w:r>
          </w:p>
        </w:tc>
        <w:tc>
          <w:tcPr>
            <w:tcW w:w="1409" w:type="pct"/>
            <w:tcBorders>
              <w:top w:val="nil"/>
              <w:left w:val="nil"/>
              <w:bottom w:val="single" w:sz="4" w:space="0" w:color="auto"/>
              <w:right w:val="single" w:sz="4" w:space="0" w:color="auto"/>
            </w:tcBorders>
            <w:noWrap/>
            <w:vAlign w:val="bottom"/>
            <w:hideMark/>
          </w:tcPr>
          <w:p w14:paraId="0333AFE8" w14:textId="77777777" w:rsidR="00842A15" w:rsidRPr="00291BF0" w:rsidRDefault="00842A15" w:rsidP="00240F9B">
            <w:pPr>
              <w:widowControl/>
              <w:autoSpaceDE/>
              <w:autoSpaceDN/>
              <w:spacing w:before="100" w:beforeAutospacing="1" w:after="100" w:afterAutospacing="1" w:line="276" w:lineRule="auto"/>
              <w:jc w:val="both"/>
              <w:rPr>
                <w:b/>
                <w:bCs/>
                <w:color w:val="000000"/>
                <w:sz w:val="20"/>
                <w:szCs w:val="20"/>
                <w:lang w:eastAsia="en-GB"/>
              </w:rPr>
            </w:pPr>
            <w:r w:rsidRPr="00291BF0">
              <w:rPr>
                <w:b/>
                <w:bCs/>
                <w:color w:val="000000"/>
                <w:sz w:val="20"/>
                <w:szCs w:val="20"/>
                <w:lang w:eastAsia="en-GB"/>
              </w:rPr>
              <w:t> </w:t>
            </w:r>
          </w:p>
        </w:tc>
        <w:tc>
          <w:tcPr>
            <w:tcW w:w="634" w:type="pct"/>
            <w:tcBorders>
              <w:top w:val="nil"/>
              <w:left w:val="nil"/>
              <w:bottom w:val="single" w:sz="4" w:space="0" w:color="auto"/>
              <w:right w:val="single" w:sz="4" w:space="0" w:color="auto"/>
            </w:tcBorders>
            <w:noWrap/>
            <w:vAlign w:val="bottom"/>
            <w:hideMark/>
          </w:tcPr>
          <w:p w14:paraId="70F0055C" w14:textId="77777777" w:rsidR="00842A15" w:rsidRPr="00291BF0" w:rsidRDefault="00842A15" w:rsidP="00240F9B">
            <w:pPr>
              <w:widowControl/>
              <w:autoSpaceDE/>
              <w:autoSpaceDN/>
              <w:spacing w:before="100" w:beforeAutospacing="1" w:after="100" w:afterAutospacing="1" w:line="276" w:lineRule="auto"/>
              <w:jc w:val="both"/>
              <w:rPr>
                <w:b/>
                <w:bCs/>
                <w:color w:val="000000"/>
                <w:sz w:val="20"/>
                <w:szCs w:val="20"/>
                <w:lang w:eastAsia="en-GB"/>
              </w:rPr>
            </w:pPr>
            <w:r w:rsidRPr="00291BF0">
              <w:rPr>
                <w:b/>
                <w:bCs/>
                <w:color w:val="000000"/>
                <w:sz w:val="20"/>
                <w:szCs w:val="20"/>
                <w:lang w:eastAsia="en-GB"/>
              </w:rPr>
              <w:t>670</w:t>
            </w:r>
          </w:p>
        </w:tc>
        <w:tc>
          <w:tcPr>
            <w:tcW w:w="633" w:type="pct"/>
            <w:tcBorders>
              <w:top w:val="nil"/>
              <w:left w:val="nil"/>
              <w:bottom w:val="single" w:sz="4" w:space="0" w:color="auto"/>
              <w:right w:val="single" w:sz="4" w:space="0" w:color="auto"/>
            </w:tcBorders>
            <w:noWrap/>
            <w:vAlign w:val="bottom"/>
            <w:hideMark/>
          </w:tcPr>
          <w:p w14:paraId="430A8F76" w14:textId="77777777" w:rsidR="00842A15" w:rsidRPr="00291BF0" w:rsidRDefault="00842A15" w:rsidP="00240F9B">
            <w:pPr>
              <w:widowControl/>
              <w:autoSpaceDE/>
              <w:autoSpaceDN/>
              <w:spacing w:before="100" w:beforeAutospacing="1" w:after="100" w:afterAutospacing="1" w:line="276" w:lineRule="auto"/>
              <w:jc w:val="both"/>
              <w:rPr>
                <w:b/>
                <w:bCs/>
                <w:color w:val="000000"/>
                <w:sz w:val="20"/>
                <w:szCs w:val="20"/>
                <w:lang w:eastAsia="en-GB"/>
              </w:rPr>
            </w:pPr>
            <w:r w:rsidRPr="00291BF0">
              <w:rPr>
                <w:b/>
                <w:bCs/>
                <w:color w:val="000000"/>
                <w:sz w:val="20"/>
                <w:szCs w:val="20"/>
                <w:lang w:eastAsia="en-GB"/>
              </w:rPr>
              <w:t>548</w:t>
            </w:r>
          </w:p>
        </w:tc>
        <w:tc>
          <w:tcPr>
            <w:tcW w:w="493" w:type="pct"/>
            <w:tcBorders>
              <w:top w:val="nil"/>
              <w:left w:val="nil"/>
              <w:bottom w:val="single" w:sz="4" w:space="0" w:color="auto"/>
              <w:right w:val="single" w:sz="4" w:space="0" w:color="auto"/>
            </w:tcBorders>
            <w:noWrap/>
            <w:vAlign w:val="bottom"/>
            <w:hideMark/>
          </w:tcPr>
          <w:p w14:paraId="072E8800" w14:textId="77777777" w:rsidR="00842A15" w:rsidRPr="00291BF0" w:rsidRDefault="00842A15" w:rsidP="00240F9B">
            <w:pPr>
              <w:widowControl/>
              <w:autoSpaceDE/>
              <w:autoSpaceDN/>
              <w:spacing w:before="100" w:beforeAutospacing="1" w:after="100" w:afterAutospacing="1" w:line="276" w:lineRule="auto"/>
              <w:jc w:val="both"/>
              <w:rPr>
                <w:b/>
                <w:bCs/>
                <w:color w:val="000000"/>
                <w:sz w:val="20"/>
                <w:szCs w:val="20"/>
                <w:lang w:eastAsia="en-GB"/>
              </w:rPr>
            </w:pPr>
            <w:r w:rsidRPr="00291BF0">
              <w:rPr>
                <w:b/>
                <w:bCs/>
                <w:color w:val="000000"/>
                <w:sz w:val="20"/>
                <w:szCs w:val="20"/>
                <w:lang w:eastAsia="en-GB"/>
              </w:rPr>
              <w:t>122</w:t>
            </w:r>
          </w:p>
        </w:tc>
      </w:tr>
    </w:tbl>
    <w:p w14:paraId="25D0C4BB" w14:textId="2B896231" w:rsidR="00842A15" w:rsidRPr="00291BF0" w:rsidRDefault="00842A15" w:rsidP="00291BF0">
      <w:pPr>
        <w:spacing w:before="100" w:beforeAutospacing="1" w:after="100" w:afterAutospacing="1" w:line="276" w:lineRule="auto"/>
        <w:jc w:val="both"/>
        <w:rPr>
          <w:sz w:val="24"/>
          <w:szCs w:val="24"/>
        </w:rPr>
      </w:pPr>
      <w:r w:rsidRPr="00842A15">
        <w:rPr>
          <w:sz w:val="24"/>
          <w:szCs w:val="24"/>
        </w:rPr>
        <w:t xml:space="preserve">In response to these trends, the Authority continued to strengthen regulatory oversight through enhanced compliance monitoring, engagement with licensees to improve quality of service, intensified consumer awareness initiatives, enforcement of type approval requirements for communications equipment, and collaboration with industry stakeholders to address emerging risks such as SIM swap fraud, digital financial scams and online abuse. </w:t>
      </w:r>
    </w:p>
    <w:p w14:paraId="2D0D6ED5" w14:textId="3541DC4E" w:rsidR="000F6C39" w:rsidRPr="001C5F84" w:rsidRDefault="00EA08CC" w:rsidP="000F6C39">
      <w:pPr>
        <w:pStyle w:val="ListParagraph"/>
        <w:numPr>
          <w:ilvl w:val="0"/>
          <w:numId w:val="4"/>
        </w:numPr>
        <w:spacing w:before="100" w:beforeAutospacing="1" w:after="100" w:afterAutospacing="1" w:line="276" w:lineRule="auto"/>
        <w:ind w:left="357" w:right="119" w:hanging="357"/>
        <w:jc w:val="both"/>
        <w:rPr>
          <w:b/>
          <w:bCs/>
          <w:sz w:val="24"/>
          <w:szCs w:val="24"/>
        </w:rPr>
      </w:pPr>
      <w:r w:rsidRPr="00842A15">
        <w:rPr>
          <w:b/>
          <w:bCs/>
          <w:sz w:val="24"/>
          <w:szCs w:val="24"/>
        </w:rPr>
        <w:t>Emerging Consumer Protection Trends</w:t>
      </w:r>
    </w:p>
    <w:p w14:paraId="43F2BA5D" w14:textId="66C9A54C" w:rsidR="00B473F1" w:rsidRPr="00842A15" w:rsidRDefault="00B473F1" w:rsidP="00842A15">
      <w:pPr>
        <w:pStyle w:val="ListParagraph"/>
        <w:numPr>
          <w:ilvl w:val="1"/>
          <w:numId w:val="4"/>
        </w:numPr>
        <w:spacing w:before="100" w:beforeAutospacing="1" w:after="100" w:afterAutospacing="1" w:line="276" w:lineRule="auto"/>
        <w:ind w:right="119"/>
        <w:jc w:val="both"/>
        <w:rPr>
          <w:b/>
          <w:bCs/>
          <w:i/>
          <w:iCs/>
          <w:sz w:val="24"/>
          <w:szCs w:val="24"/>
        </w:rPr>
      </w:pPr>
      <w:r w:rsidRPr="00842A15">
        <w:rPr>
          <w:b/>
          <w:bCs/>
          <w:sz w:val="24"/>
          <w:szCs w:val="24"/>
        </w:rPr>
        <w:t>Quality</w:t>
      </w:r>
      <w:r w:rsidRPr="00842A15">
        <w:rPr>
          <w:b/>
          <w:bCs/>
          <w:i/>
          <w:iCs/>
          <w:sz w:val="24"/>
          <w:szCs w:val="24"/>
        </w:rPr>
        <w:t xml:space="preserve"> of Service (QoS)</w:t>
      </w:r>
      <w:r w:rsidR="00546570">
        <w:rPr>
          <w:b/>
          <w:bCs/>
          <w:i/>
          <w:iCs/>
          <w:sz w:val="24"/>
          <w:szCs w:val="24"/>
        </w:rPr>
        <w:t>, Quality of Experience (</w:t>
      </w:r>
      <w:proofErr w:type="spellStart"/>
      <w:r w:rsidR="00546570">
        <w:rPr>
          <w:b/>
          <w:bCs/>
          <w:i/>
          <w:iCs/>
          <w:sz w:val="24"/>
          <w:szCs w:val="24"/>
        </w:rPr>
        <w:t>QoE</w:t>
      </w:r>
      <w:proofErr w:type="spellEnd"/>
      <w:r w:rsidR="00546570">
        <w:rPr>
          <w:b/>
          <w:bCs/>
          <w:i/>
          <w:iCs/>
          <w:sz w:val="24"/>
          <w:szCs w:val="24"/>
        </w:rPr>
        <w:t>)</w:t>
      </w:r>
      <w:r w:rsidRPr="00842A15">
        <w:rPr>
          <w:b/>
          <w:bCs/>
          <w:i/>
          <w:iCs/>
          <w:sz w:val="24"/>
          <w:szCs w:val="24"/>
        </w:rPr>
        <w:t xml:space="preserve"> and Network Performance</w:t>
      </w:r>
    </w:p>
    <w:p w14:paraId="6BBC4347" w14:textId="60D73B09" w:rsidR="00B473F1" w:rsidRPr="00842A15" w:rsidRDefault="00B473F1" w:rsidP="00842A15">
      <w:pPr>
        <w:spacing w:before="100" w:beforeAutospacing="1" w:after="100" w:afterAutospacing="1" w:line="276" w:lineRule="auto"/>
        <w:jc w:val="both"/>
        <w:rPr>
          <w:sz w:val="24"/>
          <w:szCs w:val="24"/>
          <w:lang w:eastAsia="en-GB"/>
        </w:rPr>
      </w:pPr>
      <w:r w:rsidRPr="00842A15">
        <w:rPr>
          <w:sz w:val="24"/>
          <w:szCs w:val="24"/>
          <w:lang w:eastAsia="en-GB"/>
        </w:rPr>
        <w:t xml:space="preserve">Quality of Service (QoS) </w:t>
      </w:r>
      <w:r w:rsidR="00546570">
        <w:rPr>
          <w:sz w:val="24"/>
          <w:szCs w:val="24"/>
          <w:lang w:eastAsia="en-GB"/>
        </w:rPr>
        <w:t>and Quality of Experience (</w:t>
      </w:r>
      <w:proofErr w:type="spellStart"/>
      <w:r w:rsidR="00546570">
        <w:rPr>
          <w:sz w:val="24"/>
          <w:szCs w:val="24"/>
          <w:lang w:eastAsia="en-GB"/>
        </w:rPr>
        <w:t>QoE</w:t>
      </w:r>
      <w:proofErr w:type="spellEnd"/>
      <w:r w:rsidR="00546570">
        <w:rPr>
          <w:sz w:val="24"/>
          <w:szCs w:val="24"/>
          <w:lang w:eastAsia="en-GB"/>
        </w:rPr>
        <w:t xml:space="preserve">) </w:t>
      </w:r>
      <w:r w:rsidRPr="00842A15">
        <w:rPr>
          <w:sz w:val="24"/>
          <w:szCs w:val="24"/>
          <w:lang w:eastAsia="en-GB"/>
        </w:rPr>
        <w:t>remained a key consumer protection priority</w:t>
      </w:r>
      <w:r w:rsidR="00961D35">
        <w:rPr>
          <w:sz w:val="24"/>
          <w:szCs w:val="24"/>
          <w:lang w:eastAsia="en-GB"/>
        </w:rPr>
        <w:t>,</w:t>
      </w:r>
      <w:r w:rsidRPr="00842A15">
        <w:rPr>
          <w:sz w:val="24"/>
          <w:szCs w:val="24"/>
          <w:lang w:eastAsia="en-GB"/>
        </w:rPr>
        <w:t xml:space="preserve"> during the quarter under review, with complaint trends providing the Authority with valuable </w:t>
      </w:r>
      <w:r w:rsidR="00DE7F78">
        <w:rPr>
          <w:sz w:val="24"/>
          <w:szCs w:val="24"/>
          <w:lang w:eastAsia="en-GB"/>
        </w:rPr>
        <w:t>insights</w:t>
      </w:r>
      <w:r w:rsidRPr="00842A15">
        <w:rPr>
          <w:sz w:val="24"/>
          <w:szCs w:val="24"/>
          <w:lang w:eastAsia="en-GB"/>
        </w:rPr>
        <w:t xml:space="preserve"> on network performance, service reliability and consumer experience across the communications sector. </w:t>
      </w:r>
    </w:p>
    <w:p w14:paraId="306DF0F5" w14:textId="3C00ADB9" w:rsidR="00B473F1" w:rsidRPr="00842A15" w:rsidRDefault="00B473F1" w:rsidP="00842A15">
      <w:pPr>
        <w:spacing w:before="100" w:beforeAutospacing="1" w:after="100" w:afterAutospacing="1" w:line="276" w:lineRule="auto"/>
        <w:jc w:val="both"/>
        <w:rPr>
          <w:sz w:val="24"/>
          <w:szCs w:val="24"/>
          <w:lang w:eastAsia="en-GB"/>
        </w:rPr>
      </w:pPr>
      <w:r w:rsidRPr="00842A15">
        <w:rPr>
          <w:sz w:val="24"/>
          <w:szCs w:val="24"/>
          <w:lang w:eastAsia="en-GB"/>
        </w:rPr>
        <w:t xml:space="preserve">Of the 239 telecommunications complaints received, a significant proportion related to service quality, including 22 data Quality of Service complaints, 13 voice Quality of Service complaints, 14 data service interruptions, 35 complaints on delays and failure in service provision, 20 service termination complaints, </w:t>
      </w:r>
      <w:r w:rsidRPr="0081328D">
        <w:rPr>
          <w:sz w:val="24"/>
          <w:szCs w:val="24"/>
          <w:lang w:eastAsia="en-GB"/>
        </w:rPr>
        <w:t>7 cases of network inaccessibility, and 75 complaints relating to billing and charging</w:t>
      </w:r>
      <w:r w:rsidR="002C76A9" w:rsidRPr="0081328D">
        <w:rPr>
          <w:sz w:val="24"/>
          <w:szCs w:val="24"/>
          <w:lang w:eastAsia="en-GB"/>
        </w:rPr>
        <w:t xml:space="preserve"> of data services</w:t>
      </w:r>
      <w:r w:rsidRPr="0081328D">
        <w:rPr>
          <w:sz w:val="24"/>
          <w:szCs w:val="24"/>
          <w:lang w:eastAsia="en-GB"/>
        </w:rPr>
        <w:t>, which were associated with perceived service quality and value for money.</w:t>
      </w:r>
      <w:r w:rsidRPr="00842A15">
        <w:rPr>
          <w:sz w:val="24"/>
          <w:szCs w:val="24"/>
          <w:lang w:eastAsia="en-GB"/>
        </w:rPr>
        <w:t xml:space="preserve"> In the broadcasting sector, consumers also reported complaints relating to quality of service, frequency interference, service interruptions and content </w:t>
      </w:r>
      <w:r w:rsidR="001F71F7">
        <w:rPr>
          <w:sz w:val="24"/>
          <w:szCs w:val="24"/>
          <w:lang w:eastAsia="en-GB"/>
        </w:rPr>
        <w:t>and programming standards</w:t>
      </w:r>
      <w:r w:rsidRPr="00842A15">
        <w:rPr>
          <w:sz w:val="24"/>
          <w:szCs w:val="24"/>
          <w:lang w:eastAsia="en-GB"/>
        </w:rPr>
        <w:t>, highlighting the need for continued oversight of network and broadcasting infrastructure.</w:t>
      </w:r>
    </w:p>
    <w:p w14:paraId="04C1ABB8" w14:textId="6D1ED593" w:rsidR="00B473F1" w:rsidRPr="00842A15" w:rsidRDefault="00B473F1" w:rsidP="00842A15">
      <w:pPr>
        <w:spacing w:before="100" w:beforeAutospacing="1" w:after="100" w:afterAutospacing="1" w:line="276" w:lineRule="auto"/>
        <w:jc w:val="both"/>
        <w:rPr>
          <w:sz w:val="24"/>
          <w:szCs w:val="24"/>
          <w:lang w:eastAsia="en-GB"/>
        </w:rPr>
      </w:pPr>
      <w:r w:rsidRPr="00842A15">
        <w:rPr>
          <w:sz w:val="24"/>
          <w:szCs w:val="24"/>
          <w:lang w:eastAsia="en-GB"/>
        </w:rPr>
        <w:lastRenderedPageBreak/>
        <w:t>The</w:t>
      </w:r>
      <w:r w:rsidR="00C65C4D">
        <w:rPr>
          <w:sz w:val="24"/>
          <w:szCs w:val="24"/>
          <w:lang w:eastAsia="en-GB"/>
        </w:rPr>
        <w:t>se</w:t>
      </w:r>
      <w:r w:rsidRPr="00842A15">
        <w:rPr>
          <w:sz w:val="24"/>
          <w:szCs w:val="24"/>
          <w:lang w:eastAsia="en-GB"/>
        </w:rPr>
        <w:t xml:space="preserve"> trends point to emerging consumer expectations for resilient, high-quality and uninterrupted communications services as digital connectivity increasingly underpins economic activity, education, financial services and access to </w:t>
      </w:r>
      <w:r w:rsidR="00C65C4D">
        <w:rPr>
          <w:sz w:val="24"/>
          <w:szCs w:val="24"/>
          <w:lang w:eastAsia="en-GB"/>
        </w:rPr>
        <w:t>G</w:t>
      </w:r>
      <w:r w:rsidRPr="00842A15">
        <w:rPr>
          <w:sz w:val="24"/>
          <w:szCs w:val="24"/>
          <w:lang w:eastAsia="en-GB"/>
        </w:rPr>
        <w:t xml:space="preserve">overnment services. The Authority continues to </w:t>
      </w:r>
      <w:r w:rsidR="00C65C4D" w:rsidRPr="00842A15">
        <w:rPr>
          <w:sz w:val="24"/>
          <w:szCs w:val="24"/>
          <w:lang w:eastAsia="en-GB"/>
        </w:rPr>
        <w:t>analyze</w:t>
      </w:r>
      <w:r w:rsidRPr="00842A15">
        <w:rPr>
          <w:sz w:val="24"/>
          <w:szCs w:val="24"/>
          <w:lang w:eastAsia="en-GB"/>
        </w:rPr>
        <w:t xml:space="preserve"> complaint patterns</w:t>
      </w:r>
      <w:r w:rsidR="00C65C4D">
        <w:rPr>
          <w:sz w:val="24"/>
          <w:szCs w:val="24"/>
          <w:lang w:eastAsia="en-GB"/>
        </w:rPr>
        <w:t>,</w:t>
      </w:r>
      <w:r w:rsidRPr="00842A15">
        <w:rPr>
          <w:sz w:val="24"/>
          <w:szCs w:val="24"/>
          <w:lang w:eastAsia="en-GB"/>
        </w:rPr>
        <w:t xml:space="preserve"> alongside network performance data to identify systemic issues, inform regulatory priorities and drive continuous improvement in service delivery by licensees.</w:t>
      </w:r>
    </w:p>
    <w:p w14:paraId="14E5549D" w14:textId="52F45D41" w:rsidR="00B473F1" w:rsidRPr="00842A15" w:rsidRDefault="00B473F1" w:rsidP="00842A15">
      <w:pPr>
        <w:spacing w:before="100" w:beforeAutospacing="1" w:after="100" w:afterAutospacing="1" w:line="276" w:lineRule="auto"/>
        <w:jc w:val="both"/>
        <w:rPr>
          <w:sz w:val="24"/>
          <w:szCs w:val="24"/>
          <w:lang w:eastAsia="en-GB"/>
        </w:rPr>
      </w:pPr>
      <w:r w:rsidRPr="00842A15">
        <w:rPr>
          <w:sz w:val="24"/>
          <w:szCs w:val="24"/>
          <w:lang w:eastAsia="en-GB"/>
        </w:rPr>
        <w:t xml:space="preserve">In response to the emerging </w:t>
      </w:r>
      <w:proofErr w:type="spellStart"/>
      <w:r w:rsidR="00AD066D">
        <w:rPr>
          <w:sz w:val="24"/>
          <w:szCs w:val="24"/>
          <w:lang w:eastAsia="en-GB"/>
        </w:rPr>
        <w:t>QoE</w:t>
      </w:r>
      <w:proofErr w:type="spellEnd"/>
      <w:r w:rsidR="00AD066D">
        <w:rPr>
          <w:sz w:val="24"/>
          <w:szCs w:val="24"/>
          <w:lang w:eastAsia="en-GB"/>
        </w:rPr>
        <w:t>/</w:t>
      </w:r>
      <w:proofErr w:type="spellStart"/>
      <w:r w:rsidR="00AD066D">
        <w:rPr>
          <w:sz w:val="24"/>
          <w:szCs w:val="24"/>
          <w:lang w:eastAsia="en-GB"/>
        </w:rPr>
        <w:t>QoE</w:t>
      </w:r>
      <w:proofErr w:type="spellEnd"/>
      <w:r w:rsidRPr="00842A15">
        <w:rPr>
          <w:sz w:val="24"/>
          <w:szCs w:val="24"/>
          <w:lang w:eastAsia="en-GB"/>
        </w:rPr>
        <w:t xml:space="preserve"> concerns, the Authority continued to implement a range of regulatory and compliance measures aimed at improving network performance and safeguarding consumer interests. These include:</w:t>
      </w:r>
    </w:p>
    <w:p w14:paraId="3CEBC94D" w14:textId="09A6593E" w:rsidR="00B473F1" w:rsidRPr="00842A15" w:rsidRDefault="00B473F1" w:rsidP="3FD78F4F">
      <w:pPr>
        <w:widowControl/>
        <w:numPr>
          <w:ilvl w:val="0"/>
          <w:numId w:val="2"/>
        </w:numPr>
        <w:autoSpaceDE/>
        <w:autoSpaceDN/>
        <w:spacing w:before="100" w:beforeAutospacing="1" w:after="100" w:afterAutospacing="1" w:line="276" w:lineRule="auto"/>
        <w:jc w:val="both"/>
        <w:rPr>
          <w:sz w:val="24"/>
          <w:szCs w:val="24"/>
          <w:lang w:eastAsia="en-GB"/>
        </w:rPr>
      </w:pPr>
      <w:r w:rsidRPr="3FD78F4F">
        <w:rPr>
          <w:sz w:val="24"/>
          <w:szCs w:val="24"/>
          <w:lang w:eastAsia="en-GB"/>
        </w:rPr>
        <w:t xml:space="preserve">Continuous monitoring of </w:t>
      </w:r>
      <w:proofErr w:type="gramStart"/>
      <w:r w:rsidR="33C58702" w:rsidRPr="3FD78F4F">
        <w:rPr>
          <w:sz w:val="24"/>
          <w:szCs w:val="24"/>
          <w:lang w:eastAsia="en-GB"/>
        </w:rPr>
        <w:t>Quality of Service</w:t>
      </w:r>
      <w:proofErr w:type="gramEnd"/>
      <w:r w:rsidRPr="3FD78F4F">
        <w:rPr>
          <w:sz w:val="24"/>
          <w:szCs w:val="24"/>
          <w:lang w:eastAsia="en-GB"/>
        </w:rPr>
        <w:t xml:space="preserve"> performance across licensed telecommunications and broadcasting networks to assess compliance with prescribed service standards.</w:t>
      </w:r>
    </w:p>
    <w:p w14:paraId="3C9666A4" w14:textId="03AA579D" w:rsidR="00B473F1" w:rsidRPr="00842A15" w:rsidRDefault="00B473F1" w:rsidP="00842A15">
      <w:pPr>
        <w:widowControl/>
        <w:numPr>
          <w:ilvl w:val="0"/>
          <w:numId w:val="2"/>
        </w:numPr>
        <w:autoSpaceDE/>
        <w:autoSpaceDN/>
        <w:spacing w:before="100" w:beforeAutospacing="1" w:after="100" w:afterAutospacing="1" w:line="276" w:lineRule="auto"/>
        <w:jc w:val="both"/>
        <w:rPr>
          <w:sz w:val="24"/>
          <w:szCs w:val="24"/>
          <w:lang w:eastAsia="en-GB"/>
        </w:rPr>
      </w:pPr>
      <w:r w:rsidRPr="00842A15">
        <w:rPr>
          <w:sz w:val="24"/>
          <w:szCs w:val="24"/>
          <w:lang w:eastAsia="en-GB"/>
        </w:rPr>
        <w:t>Regular network performance assessments to identify areas requiring corrective action and service improvement.</w:t>
      </w:r>
    </w:p>
    <w:p w14:paraId="70EC68FB" w14:textId="7515C1B5" w:rsidR="00B473F1" w:rsidRPr="00842A15" w:rsidRDefault="00B473F1" w:rsidP="00842A15">
      <w:pPr>
        <w:widowControl/>
        <w:numPr>
          <w:ilvl w:val="0"/>
          <w:numId w:val="2"/>
        </w:numPr>
        <w:autoSpaceDE/>
        <w:autoSpaceDN/>
        <w:spacing w:before="100" w:beforeAutospacing="1" w:after="100" w:afterAutospacing="1" w:line="276" w:lineRule="auto"/>
        <w:jc w:val="both"/>
        <w:rPr>
          <w:sz w:val="24"/>
          <w:szCs w:val="24"/>
          <w:lang w:eastAsia="en-GB"/>
        </w:rPr>
      </w:pPr>
      <w:r w:rsidRPr="00842A15">
        <w:rPr>
          <w:sz w:val="24"/>
          <w:szCs w:val="24"/>
          <w:lang w:eastAsia="en-GB"/>
        </w:rPr>
        <w:t xml:space="preserve">Compliance inspections and enforcement of </w:t>
      </w:r>
      <w:r w:rsidR="007533F9" w:rsidRPr="00842A15">
        <w:rPr>
          <w:sz w:val="24"/>
          <w:szCs w:val="24"/>
          <w:lang w:eastAsia="en-GB"/>
        </w:rPr>
        <w:t>license</w:t>
      </w:r>
      <w:r w:rsidRPr="00842A15">
        <w:rPr>
          <w:sz w:val="24"/>
          <w:szCs w:val="24"/>
          <w:lang w:eastAsia="en-GB"/>
        </w:rPr>
        <w:t xml:space="preserve"> obligations to ensure operators meet their regulatory responsibilities relating to service availability, reliability and consumer protection</w:t>
      </w:r>
      <w:r w:rsidR="00FF0769">
        <w:rPr>
          <w:sz w:val="24"/>
          <w:szCs w:val="24"/>
          <w:lang w:eastAsia="en-GB"/>
        </w:rPr>
        <w:t xml:space="preserve"> requirements</w:t>
      </w:r>
      <w:r w:rsidRPr="00842A15">
        <w:rPr>
          <w:sz w:val="24"/>
          <w:szCs w:val="24"/>
          <w:lang w:eastAsia="en-GB"/>
        </w:rPr>
        <w:t>.</w:t>
      </w:r>
    </w:p>
    <w:p w14:paraId="3884695C" w14:textId="77777777" w:rsidR="00B473F1" w:rsidRPr="00842A15" w:rsidRDefault="00B473F1" w:rsidP="00842A15">
      <w:pPr>
        <w:widowControl/>
        <w:numPr>
          <w:ilvl w:val="0"/>
          <w:numId w:val="2"/>
        </w:numPr>
        <w:autoSpaceDE/>
        <w:autoSpaceDN/>
        <w:spacing w:before="100" w:beforeAutospacing="1" w:after="100" w:afterAutospacing="1" w:line="276" w:lineRule="auto"/>
        <w:jc w:val="both"/>
        <w:rPr>
          <w:sz w:val="24"/>
          <w:szCs w:val="24"/>
          <w:lang w:eastAsia="en-GB"/>
        </w:rPr>
      </w:pPr>
      <w:r w:rsidRPr="00842A15">
        <w:rPr>
          <w:sz w:val="24"/>
          <w:szCs w:val="24"/>
          <w:lang w:eastAsia="en-GB"/>
        </w:rPr>
        <w:t>Active monitoring and analysis of consumer complaints to identify recurring trends, emerging risks and areas requiring regulatory intervention.</w:t>
      </w:r>
    </w:p>
    <w:p w14:paraId="4ACAB1C8" w14:textId="3873510D" w:rsidR="00B473F1" w:rsidRPr="00842A15" w:rsidRDefault="00B473F1" w:rsidP="3FD78F4F">
      <w:pPr>
        <w:widowControl/>
        <w:numPr>
          <w:ilvl w:val="0"/>
          <w:numId w:val="2"/>
        </w:numPr>
        <w:autoSpaceDE/>
        <w:autoSpaceDN/>
        <w:spacing w:before="100" w:beforeAutospacing="1" w:after="100" w:afterAutospacing="1" w:line="276" w:lineRule="auto"/>
        <w:jc w:val="both"/>
        <w:rPr>
          <w:sz w:val="24"/>
          <w:szCs w:val="24"/>
          <w:lang w:eastAsia="en-GB"/>
        </w:rPr>
      </w:pPr>
      <w:r w:rsidRPr="3FD78F4F">
        <w:rPr>
          <w:sz w:val="24"/>
          <w:szCs w:val="24"/>
          <w:lang w:eastAsia="en-GB"/>
        </w:rPr>
        <w:t xml:space="preserve">Regulatory engagement with licensed operators to strengthen network resilience, improve service restoration </w:t>
      </w:r>
      <w:r w:rsidR="6E7FD11F" w:rsidRPr="3FD78F4F">
        <w:rPr>
          <w:sz w:val="24"/>
          <w:szCs w:val="24"/>
          <w:lang w:eastAsia="en-GB"/>
        </w:rPr>
        <w:t>processes,</w:t>
      </w:r>
      <w:r w:rsidRPr="3FD78F4F">
        <w:rPr>
          <w:sz w:val="24"/>
          <w:szCs w:val="24"/>
          <w:lang w:eastAsia="en-GB"/>
        </w:rPr>
        <w:t xml:space="preserve"> and enhance customer experience.</w:t>
      </w:r>
    </w:p>
    <w:p w14:paraId="5D132ACF" w14:textId="5E47C8BD" w:rsidR="00B473F1" w:rsidRPr="00842A15" w:rsidRDefault="00B473F1" w:rsidP="3FD78F4F">
      <w:pPr>
        <w:widowControl/>
        <w:numPr>
          <w:ilvl w:val="0"/>
          <w:numId w:val="2"/>
        </w:numPr>
        <w:autoSpaceDE/>
        <w:autoSpaceDN/>
        <w:spacing w:before="100" w:beforeAutospacing="1" w:after="100" w:afterAutospacing="1" w:line="276" w:lineRule="auto"/>
        <w:jc w:val="both"/>
        <w:rPr>
          <w:sz w:val="24"/>
          <w:szCs w:val="24"/>
          <w:lang w:eastAsia="en-GB"/>
        </w:rPr>
      </w:pPr>
      <w:r w:rsidRPr="3FD78F4F">
        <w:rPr>
          <w:sz w:val="24"/>
          <w:szCs w:val="24"/>
          <w:lang w:eastAsia="en-GB"/>
        </w:rPr>
        <w:t xml:space="preserve">Ongoing review and enhancement of the </w:t>
      </w:r>
      <w:proofErr w:type="gramStart"/>
      <w:r w:rsidRPr="3FD78F4F">
        <w:rPr>
          <w:sz w:val="24"/>
          <w:szCs w:val="24"/>
          <w:lang w:eastAsia="en-GB"/>
        </w:rPr>
        <w:t>Quality of Service</w:t>
      </w:r>
      <w:proofErr w:type="gramEnd"/>
      <w:r w:rsidRPr="3FD78F4F">
        <w:rPr>
          <w:sz w:val="24"/>
          <w:szCs w:val="24"/>
          <w:lang w:eastAsia="en-GB"/>
        </w:rPr>
        <w:t xml:space="preserve"> regulatory framework to ensure it remains responsive to evolving technologies, changing consumer </w:t>
      </w:r>
      <w:r w:rsidR="7DC59CD6" w:rsidRPr="3FD78F4F">
        <w:rPr>
          <w:sz w:val="24"/>
          <w:szCs w:val="24"/>
          <w:lang w:eastAsia="en-GB"/>
        </w:rPr>
        <w:t>expectations,</w:t>
      </w:r>
      <w:r w:rsidRPr="3FD78F4F">
        <w:rPr>
          <w:sz w:val="24"/>
          <w:szCs w:val="24"/>
          <w:lang w:eastAsia="en-GB"/>
        </w:rPr>
        <w:t xml:space="preserve"> and emerging digital services.</w:t>
      </w:r>
    </w:p>
    <w:p w14:paraId="435E2948" w14:textId="77777777" w:rsidR="00B473F1" w:rsidRDefault="00B473F1" w:rsidP="00842A15">
      <w:pPr>
        <w:widowControl/>
        <w:numPr>
          <w:ilvl w:val="0"/>
          <w:numId w:val="2"/>
        </w:numPr>
        <w:autoSpaceDE/>
        <w:autoSpaceDN/>
        <w:spacing w:before="100" w:beforeAutospacing="1" w:after="100" w:afterAutospacing="1" w:line="276" w:lineRule="auto"/>
        <w:jc w:val="both"/>
        <w:rPr>
          <w:sz w:val="24"/>
          <w:szCs w:val="24"/>
          <w:lang w:eastAsia="en-GB"/>
        </w:rPr>
      </w:pPr>
      <w:r w:rsidRPr="00842A15">
        <w:rPr>
          <w:sz w:val="24"/>
          <w:szCs w:val="24"/>
          <w:lang w:eastAsia="en-GB"/>
        </w:rPr>
        <w:t>Consumer awareness initiatives encouraging subscribers to report persistent service quality concerns, enabling the Authority to undertake evidence-based regulatory interventions.</w:t>
      </w:r>
    </w:p>
    <w:p w14:paraId="5EAF0F72" w14:textId="77777777" w:rsidR="0081328D" w:rsidRPr="001C5F84" w:rsidRDefault="0081328D" w:rsidP="001C5F84">
      <w:pPr>
        <w:widowControl/>
        <w:autoSpaceDE/>
        <w:autoSpaceDN/>
        <w:spacing w:before="100" w:beforeAutospacing="1" w:after="100" w:afterAutospacing="1" w:line="276" w:lineRule="auto"/>
        <w:ind w:left="720"/>
        <w:jc w:val="both"/>
        <w:rPr>
          <w:sz w:val="24"/>
          <w:szCs w:val="24"/>
          <w:highlight w:val="yellow"/>
          <w:lang w:eastAsia="en-GB"/>
        </w:rPr>
      </w:pPr>
    </w:p>
    <w:p w14:paraId="0E628015" w14:textId="3AC23E29" w:rsidR="00B473F1" w:rsidRPr="00842A15" w:rsidRDefault="00B473F1" w:rsidP="3FD78F4F">
      <w:pPr>
        <w:spacing w:before="100" w:beforeAutospacing="1" w:after="100" w:afterAutospacing="1" w:line="276" w:lineRule="auto"/>
        <w:jc w:val="both"/>
        <w:rPr>
          <w:sz w:val="24"/>
          <w:szCs w:val="24"/>
          <w:lang w:eastAsia="en-GB"/>
        </w:rPr>
      </w:pPr>
      <w:r w:rsidRPr="3FD78F4F">
        <w:rPr>
          <w:sz w:val="24"/>
          <w:szCs w:val="24"/>
          <w:lang w:eastAsia="en-GB"/>
        </w:rPr>
        <w:t xml:space="preserve">These interventions demonstrate the Authority's commitment to ensuring that communications networks remain reliable, </w:t>
      </w:r>
      <w:r w:rsidR="075925D8" w:rsidRPr="3FD78F4F">
        <w:rPr>
          <w:sz w:val="24"/>
          <w:szCs w:val="24"/>
          <w:lang w:eastAsia="en-GB"/>
        </w:rPr>
        <w:t>resilient,</w:t>
      </w:r>
      <w:r w:rsidRPr="3FD78F4F">
        <w:rPr>
          <w:sz w:val="24"/>
          <w:szCs w:val="24"/>
          <w:lang w:eastAsia="en-GB"/>
        </w:rPr>
        <w:t xml:space="preserve"> and fit for purpose while promoting greater accountability among service providers. Complaint data continues to serve as an important evidence base for regulatory decision-making, enabling the Authority to proactively address service quality challenges and strengthen consumer confidence in Kenya's communications sector.</w:t>
      </w:r>
    </w:p>
    <w:p w14:paraId="0FE15BBD" w14:textId="36B25F3E" w:rsidR="00B473F1" w:rsidRPr="00842A15" w:rsidRDefault="00B473F1" w:rsidP="00842A15">
      <w:pPr>
        <w:pStyle w:val="ListParagraph"/>
        <w:numPr>
          <w:ilvl w:val="1"/>
          <w:numId w:val="4"/>
        </w:numPr>
        <w:spacing w:before="100" w:beforeAutospacing="1" w:after="100" w:afterAutospacing="1" w:line="276" w:lineRule="auto"/>
        <w:ind w:right="119"/>
        <w:jc w:val="both"/>
        <w:rPr>
          <w:b/>
          <w:bCs/>
          <w:i/>
          <w:iCs/>
          <w:sz w:val="24"/>
          <w:szCs w:val="24"/>
        </w:rPr>
      </w:pPr>
      <w:r w:rsidRPr="00842A15">
        <w:rPr>
          <w:b/>
          <w:bCs/>
          <w:i/>
          <w:iCs/>
          <w:sz w:val="24"/>
          <w:szCs w:val="24"/>
        </w:rPr>
        <w:t>Enhancing SIM Security and Consumer Identity Protection</w:t>
      </w:r>
    </w:p>
    <w:p w14:paraId="68B2AC40" w14:textId="746597E7" w:rsidR="007E00FA" w:rsidRPr="00842A15" w:rsidRDefault="007E00FA" w:rsidP="3FD78F4F">
      <w:pPr>
        <w:spacing w:before="100" w:beforeAutospacing="1" w:after="100" w:afterAutospacing="1" w:line="276" w:lineRule="auto"/>
        <w:jc w:val="both"/>
        <w:rPr>
          <w:sz w:val="24"/>
          <w:szCs w:val="24"/>
        </w:rPr>
      </w:pPr>
      <w:r w:rsidRPr="3FD78F4F">
        <w:rPr>
          <w:sz w:val="24"/>
          <w:szCs w:val="24"/>
        </w:rPr>
        <w:t xml:space="preserve">The increasing integration of mobile numbers with financial services, digital identity systems, e-government platforms and online accounts has elevated the security significance of SIM registration, </w:t>
      </w:r>
      <w:r w:rsidR="7CF5367F" w:rsidRPr="3FD78F4F">
        <w:rPr>
          <w:sz w:val="24"/>
          <w:szCs w:val="24"/>
        </w:rPr>
        <w:t>replacement,</w:t>
      </w:r>
      <w:r w:rsidRPr="3FD78F4F">
        <w:rPr>
          <w:sz w:val="24"/>
          <w:szCs w:val="24"/>
        </w:rPr>
        <w:t xml:space="preserve"> and number management processes. This calls for the protection of the integrity of subscriber identity as a key consumer protection priority towards securing access to communications services. </w:t>
      </w:r>
    </w:p>
    <w:p w14:paraId="2986F39C" w14:textId="390F104B" w:rsidR="007E00FA" w:rsidRPr="00842A15" w:rsidRDefault="007E00FA" w:rsidP="00842A15">
      <w:pPr>
        <w:spacing w:before="100" w:beforeAutospacing="1" w:after="100" w:afterAutospacing="1" w:line="276" w:lineRule="auto"/>
        <w:jc w:val="both"/>
        <w:rPr>
          <w:sz w:val="24"/>
          <w:szCs w:val="24"/>
        </w:rPr>
      </w:pPr>
      <w:r w:rsidRPr="00842A15">
        <w:rPr>
          <w:sz w:val="24"/>
          <w:szCs w:val="24"/>
        </w:rPr>
        <w:t xml:space="preserve">Analysis of complaints received by the Authority during the reporting period indicates an increasing </w:t>
      </w:r>
      <w:r w:rsidRPr="00842A15">
        <w:rPr>
          <w:sz w:val="24"/>
          <w:szCs w:val="24"/>
        </w:rPr>
        <w:lastRenderedPageBreak/>
        <w:t xml:space="preserve">convergence between telecommunications services and digital financial platforms, with fraud-related complaints extending beyond traditional voice and data services to include Digital Financial Services and Mobile Money (110 complaints), fraud and scams (86 complaints), cybercrime and criminal use of ICT infrastructure (75 complaints), data breaches (19 complaints), confidentiality and privacy breaches (10 complaints), and </w:t>
      </w:r>
      <w:r w:rsidR="007533F9" w:rsidRPr="00842A15">
        <w:rPr>
          <w:sz w:val="24"/>
          <w:szCs w:val="24"/>
        </w:rPr>
        <w:t>unauthorized</w:t>
      </w:r>
      <w:r w:rsidRPr="00842A15">
        <w:rPr>
          <w:sz w:val="24"/>
          <w:szCs w:val="24"/>
        </w:rPr>
        <w:t xml:space="preserve"> sharing of personal information (10 complaints). </w:t>
      </w:r>
    </w:p>
    <w:p w14:paraId="393C71C7" w14:textId="767D57FD" w:rsidR="007E00FA" w:rsidRPr="00842A15" w:rsidRDefault="007E00FA" w:rsidP="3FD78F4F">
      <w:pPr>
        <w:spacing w:before="100" w:beforeAutospacing="1" w:after="100" w:afterAutospacing="1" w:line="276" w:lineRule="auto"/>
        <w:jc w:val="both"/>
        <w:rPr>
          <w:sz w:val="24"/>
          <w:szCs w:val="24"/>
        </w:rPr>
      </w:pPr>
      <w:r w:rsidRPr="3FD78F4F">
        <w:rPr>
          <w:sz w:val="24"/>
          <w:szCs w:val="24"/>
        </w:rPr>
        <w:t xml:space="preserve">These complaints point to emerging risks associated with compromised subscriber identities, </w:t>
      </w:r>
      <w:r w:rsidR="007533F9" w:rsidRPr="3FD78F4F">
        <w:rPr>
          <w:sz w:val="24"/>
          <w:szCs w:val="24"/>
        </w:rPr>
        <w:t>unauthorized</w:t>
      </w:r>
      <w:r w:rsidRPr="3FD78F4F">
        <w:rPr>
          <w:sz w:val="24"/>
          <w:szCs w:val="24"/>
        </w:rPr>
        <w:t xml:space="preserve"> SIM replacement, identity </w:t>
      </w:r>
      <w:r w:rsidR="6CA5A845" w:rsidRPr="3FD78F4F">
        <w:rPr>
          <w:sz w:val="24"/>
          <w:szCs w:val="24"/>
        </w:rPr>
        <w:t>theft,</w:t>
      </w:r>
      <w:r w:rsidRPr="3FD78F4F">
        <w:rPr>
          <w:sz w:val="24"/>
          <w:szCs w:val="24"/>
        </w:rPr>
        <w:t xml:space="preserve"> and the misuse of personal information to facilitate fraud. Further, these complaints indicate that social engineering, phishing, misuse of personal information, weaknesses in customer identity verification, and, in isolated cases, potential non-compliance with established operational procedures</w:t>
      </w:r>
      <w:r w:rsidR="000E118E">
        <w:rPr>
          <w:sz w:val="24"/>
          <w:szCs w:val="24"/>
        </w:rPr>
        <w:t xml:space="preserve"> that</w:t>
      </w:r>
      <w:r w:rsidRPr="3FD78F4F">
        <w:rPr>
          <w:sz w:val="24"/>
          <w:szCs w:val="24"/>
        </w:rPr>
        <w:t xml:space="preserve"> may expose consumers to </w:t>
      </w:r>
      <w:r w:rsidR="007533F9" w:rsidRPr="3FD78F4F">
        <w:rPr>
          <w:sz w:val="24"/>
          <w:szCs w:val="24"/>
        </w:rPr>
        <w:t>unauthorized</w:t>
      </w:r>
      <w:r w:rsidRPr="3FD78F4F">
        <w:rPr>
          <w:sz w:val="24"/>
          <w:szCs w:val="24"/>
        </w:rPr>
        <w:t xml:space="preserve"> SIM replacement and subsequent financial or identity-related fraud.</w:t>
      </w:r>
    </w:p>
    <w:p w14:paraId="5EE5AB6B" w14:textId="35B9B943" w:rsidR="007E00FA" w:rsidRPr="00842A15" w:rsidRDefault="007E00FA" w:rsidP="3FD78F4F">
      <w:pPr>
        <w:spacing w:before="100" w:beforeAutospacing="1" w:after="100" w:afterAutospacing="1" w:line="276" w:lineRule="auto"/>
        <w:jc w:val="both"/>
        <w:rPr>
          <w:sz w:val="24"/>
          <w:szCs w:val="24"/>
        </w:rPr>
      </w:pPr>
      <w:r w:rsidRPr="3FD78F4F">
        <w:rPr>
          <w:sz w:val="24"/>
          <w:szCs w:val="24"/>
        </w:rPr>
        <w:t xml:space="preserve">The Authority continues to monitor these emerging risks through complaint analysis and market surveillance to ensure that consumer identity protection remains central to regulatory oversight. Further, these insights inform ongoing engagements with licensees to strengthen </w:t>
      </w:r>
      <w:r w:rsidR="002D5640">
        <w:rPr>
          <w:sz w:val="24"/>
          <w:szCs w:val="24"/>
        </w:rPr>
        <w:t xml:space="preserve">technical and </w:t>
      </w:r>
      <w:r w:rsidRPr="3FD78F4F">
        <w:rPr>
          <w:sz w:val="24"/>
          <w:szCs w:val="24"/>
        </w:rPr>
        <w:t xml:space="preserve">operational </w:t>
      </w:r>
      <w:r w:rsidR="002D5640">
        <w:rPr>
          <w:sz w:val="24"/>
          <w:szCs w:val="24"/>
        </w:rPr>
        <w:t>measures</w:t>
      </w:r>
      <w:r w:rsidR="000E118E">
        <w:rPr>
          <w:sz w:val="24"/>
          <w:szCs w:val="24"/>
        </w:rPr>
        <w:t xml:space="preserve"> to</w:t>
      </w:r>
      <w:r w:rsidRPr="3FD78F4F">
        <w:rPr>
          <w:sz w:val="24"/>
          <w:szCs w:val="24"/>
        </w:rPr>
        <w:t xml:space="preserve"> safeguard subscriber </w:t>
      </w:r>
      <w:proofErr w:type="gramStart"/>
      <w:r w:rsidR="42573DAA" w:rsidRPr="3FD78F4F">
        <w:rPr>
          <w:sz w:val="24"/>
          <w:szCs w:val="24"/>
        </w:rPr>
        <w:t>information,</w:t>
      </w:r>
      <w:r w:rsidRPr="3FD78F4F">
        <w:rPr>
          <w:sz w:val="24"/>
          <w:szCs w:val="24"/>
        </w:rPr>
        <w:t xml:space="preserve"> and</w:t>
      </w:r>
      <w:proofErr w:type="gramEnd"/>
      <w:r w:rsidRPr="3FD78F4F">
        <w:rPr>
          <w:sz w:val="24"/>
          <w:szCs w:val="24"/>
        </w:rPr>
        <w:t xml:space="preserve"> enhance consumer confidence in digital communications services.</w:t>
      </w:r>
    </w:p>
    <w:p w14:paraId="2BEE16B1" w14:textId="77777777" w:rsidR="007E00FA" w:rsidRPr="00842A15" w:rsidRDefault="007E00FA" w:rsidP="00842A15">
      <w:pPr>
        <w:spacing w:before="100" w:beforeAutospacing="1" w:after="100" w:afterAutospacing="1" w:line="276" w:lineRule="auto"/>
        <w:jc w:val="both"/>
        <w:rPr>
          <w:sz w:val="24"/>
          <w:szCs w:val="24"/>
        </w:rPr>
      </w:pPr>
      <w:r w:rsidRPr="00842A15">
        <w:rPr>
          <w:sz w:val="24"/>
          <w:szCs w:val="24"/>
        </w:rPr>
        <w:t>Further, the Authority continues to implement and promote a range of regulatory and collaborative interventions to strengthen SIM security and protect consumers against identity-related fraud, including:</w:t>
      </w:r>
    </w:p>
    <w:p w14:paraId="67E95093" w14:textId="77777777" w:rsidR="007E00FA" w:rsidRPr="00842A15" w:rsidRDefault="007E00FA" w:rsidP="00842A15">
      <w:pPr>
        <w:widowControl/>
        <w:numPr>
          <w:ilvl w:val="0"/>
          <w:numId w:val="5"/>
        </w:numPr>
        <w:autoSpaceDE/>
        <w:autoSpaceDN/>
        <w:spacing w:before="100" w:beforeAutospacing="1" w:after="100" w:afterAutospacing="1" w:line="276" w:lineRule="auto"/>
        <w:jc w:val="both"/>
        <w:rPr>
          <w:sz w:val="24"/>
          <w:szCs w:val="24"/>
        </w:rPr>
      </w:pPr>
      <w:r w:rsidRPr="00842A15">
        <w:rPr>
          <w:sz w:val="24"/>
          <w:szCs w:val="24"/>
        </w:rPr>
        <w:t>Strengthening oversight of SIM registration, replacement and lifecycle management processes to ensure compliance with regulatory requirements.</w:t>
      </w:r>
    </w:p>
    <w:p w14:paraId="7CC51428" w14:textId="77777777" w:rsidR="007E00FA" w:rsidRPr="00842A15" w:rsidRDefault="007E00FA" w:rsidP="00842A15">
      <w:pPr>
        <w:widowControl/>
        <w:numPr>
          <w:ilvl w:val="0"/>
          <w:numId w:val="5"/>
        </w:numPr>
        <w:autoSpaceDE/>
        <w:autoSpaceDN/>
        <w:spacing w:before="100" w:beforeAutospacing="1" w:after="100" w:afterAutospacing="1" w:line="276" w:lineRule="auto"/>
        <w:jc w:val="both"/>
        <w:rPr>
          <w:sz w:val="24"/>
          <w:szCs w:val="24"/>
        </w:rPr>
      </w:pPr>
      <w:r w:rsidRPr="00842A15">
        <w:rPr>
          <w:sz w:val="24"/>
          <w:szCs w:val="24"/>
        </w:rPr>
        <w:t>Monitoring compliance with customer identity verification and authentication procedures during SIM replacement and SIM-related transactions.</w:t>
      </w:r>
    </w:p>
    <w:p w14:paraId="2FA32CEE" w14:textId="3E54FF3A" w:rsidR="007E00FA" w:rsidRPr="00842A15" w:rsidRDefault="007E00FA" w:rsidP="3FD78F4F">
      <w:pPr>
        <w:widowControl/>
        <w:numPr>
          <w:ilvl w:val="0"/>
          <w:numId w:val="5"/>
        </w:numPr>
        <w:autoSpaceDE/>
        <w:autoSpaceDN/>
        <w:spacing w:before="100" w:beforeAutospacing="1" w:after="100" w:afterAutospacing="1" w:line="276" w:lineRule="auto"/>
        <w:jc w:val="both"/>
        <w:rPr>
          <w:sz w:val="24"/>
          <w:szCs w:val="24"/>
        </w:rPr>
      </w:pPr>
      <w:r w:rsidRPr="3FD78F4F">
        <w:rPr>
          <w:sz w:val="24"/>
          <w:szCs w:val="24"/>
        </w:rPr>
        <w:t xml:space="preserve">Engaging telecommunications operators to strengthen customer verification controls, </w:t>
      </w:r>
      <w:r w:rsidR="007533F9" w:rsidRPr="3FD78F4F">
        <w:rPr>
          <w:sz w:val="24"/>
          <w:szCs w:val="24"/>
        </w:rPr>
        <w:t>minimize</w:t>
      </w:r>
      <w:r w:rsidRPr="3FD78F4F">
        <w:rPr>
          <w:sz w:val="24"/>
          <w:szCs w:val="24"/>
        </w:rPr>
        <w:t xml:space="preserve"> opportunities for fraudulent SIM </w:t>
      </w:r>
      <w:r w:rsidR="706D4112" w:rsidRPr="3FD78F4F">
        <w:rPr>
          <w:sz w:val="24"/>
          <w:szCs w:val="24"/>
        </w:rPr>
        <w:t>replacement,</w:t>
      </w:r>
      <w:r w:rsidRPr="3FD78F4F">
        <w:rPr>
          <w:sz w:val="24"/>
          <w:szCs w:val="24"/>
        </w:rPr>
        <w:t xml:space="preserve"> and improve accountability throughout the SIM management process.</w:t>
      </w:r>
    </w:p>
    <w:p w14:paraId="21FF7D9B" w14:textId="1E2F5FF4" w:rsidR="007E00FA" w:rsidRPr="00842A15" w:rsidRDefault="007E00FA" w:rsidP="00842A15">
      <w:pPr>
        <w:widowControl/>
        <w:numPr>
          <w:ilvl w:val="0"/>
          <w:numId w:val="5"/>
        </w:numPr>
        <w:autoSpaceDE/>
        <w:autoSpaceDN/>
        <w:spacing w:before="100" w:beforeAutospacing="1" w:after="100" w:afterAutospacing="1" w:line="276" w:lineRule="auto"/>
        <w:jc w:val="both"/>
        <w:rPr>
          <w:sz w:val="24"/>
          <w:szCs w:val="24"/>
        </w:rPr>
      </w:pPr>
      <w:r w:rsidRPr="00842A15">
        <w:rPr>
          <w:sz w:val="24"/>
          <w:szCs w:val="24"/>
        </w:rPr>
        <w:t xml:space="preserve">Promoting stronger customer authentication measures, including enhanced identity verification mechanisms, to reduce the risk of </w:t>
      </w:r>
      <w:r w:rsidR="007533F9" w:rsidRPr="00842A15">
        <w:rPr>
          <w:sz w:val="24"/>
          <w:szCs w:val="24"/>
        </w:rPr>
        <w:t>unauthorized</w:t>
      </w:r>
      <w:r w:rsidRPr="00842A15">
        <w:rPr>
          <w:sz w:val="24"/>
          <w:szCs w:val="24"/>
        </w:rPr>
        <w:t xml:space="preserve"> access to communications and financial services.</w:t>
      </w:r>
    </w:p>
    <w:p w14:paraId="6182604C" w14:textId="6D084E2C" w:rsidR="007E00FA" w:rsidRPr="00842A15" w:rsidRDefault="007E00FA" w:rsidP="3FD78F4F">
      <w:pPr>
        <w:widowControl/>
        <w:numPr>
          <w:ilvl w:val="0"/>
          <w:numId w:val="5"/>
        </w:numPr>
        <w:autoSpaceDE/>
        <w:autoSpaceDN/>
        <w:spacing w:before="100" w:beforeAutospacing="1" w:after="100" w:afterAutospacing="1" w:line="276" w:lineRule="auto"/>
        <w:jc w:val="both"/>
        <w:rPr>
          <w:sz w:val="24"/>
          <w:szCs w:val="24"/>
        </w:rPr>
      </w:pPr>
      <w:r w:rsidRPr="3FD78F4F">
        <w:rPr>
          <w:sz w:val="24"/>
          <w:szCs w:val="24"/>
        </w:rPr>
        <w:t xml:space="preserve">Monitoring complaint trends relating to SIM swap, identity theft, </w:t>
      </w:r>
      <w:r w:rsidR="007533F9" w:rsidRPr="3FD78F4F">
        <w:rPr>
          <w:sz w:val="24"/>
          <w:szCs w:val="24"/>
        </w:rPr>
        <w:t>unauthorized</w:t>
      </w:r>
      <w:r w:rsidRPr="3FD78F4F">
        <w:rPr>
          <w:sz w:val="24"/>
          <w:szCs w:val="24"/>
        </w:rPr>
        <w:t xml:space="preserve"> account </w:t>
      </w:r>
      <w:r w:rsidR="2444D00A" w:rsidRPr="3FD78F4F">
        <w:rPr>
          <w:sz w:val="24"/>
          <w:szCs w:val="24"/>
        </w:rPr>
        <w:t>access,</w:t>
      </w:r>
      <w:r w:rsidRPr="3FD78F4F">
        <w:rPr>
          <w:sz w:val="24"/>
          <w:szCs w:val="24"/>
        </w:rPr>
        <w:t xml:space="preserve"> and digital fraud to identify emerging risks requiring regulatory intervention.</w:t>
      </w:r>
    </w:p>
    <w:p w14:paraId="61B53E44" w14:textId="321DAAC3" w:rsidR="007E00FA" w:rsidRPr="00842A15" w:rsidRDefault="007E00FA" w:rsidP="00842A15">
      <w:pPr>
        <w:widowControl/>
        <w:numPr>
          <w:ilvl w:val="0"/>
          <w:numId w:val="5"/>
        </w:numPr>
        <w:autoSpaceDE/>
        <w:autoSpaceDN/>
        <w:spacing w:before="100" w:beforeAutospacing="1" w:after="100" w:afterAutospacing="1" w:line="276" w:lineRule="auto"/>
        <w:jc w:val="both"/>
        <w:rPr>
          <w:sz w:val="24"/>
          <w:szCs w:val="24"/>
        </w:rPr>
      </w:pPr>
      <w:r w:rsidRPr="00842A15">
        <w:rPr>
          <w:sz w:val="24"/>
          <w:szCs w:val="24"/>
        </w:rPr>
        <w:t xml:space="preserve">Collaborating with telecommunications operators, financial service providers and other </w:t>
      </w:r>
      <w:r w:rsidR="0081328D">
        <w:rPr>
          <w:sz w:val="24"/>
          <w:szCs w:val="24"/>
        </w:rPr>
        <w:t>relevant</w:t>
      </w:r>
      <w:r w:rsidR="0081328D" w:rsidRPr="00842A15">
        <w:rPr>
          <w:sz w:val="24"/>
          <w:szCs w:val="24"/>
        </w:rPr>
        <w:t xml:space="preserve"> </w:t>
      </w:r>
      <w:r w:rsidRPr="00842A15">
        <w:rPr>
          <w:sz w:val="24"/>
          <w:szCs w:val="24"/>
        </w:rPr>
        <w:t>agencies to enhance information sharing and coordinated responses to SIM-enabled fraud.</w:t>
      </w:r>
    </w:p>
    <w:p w14:paraId="01229DCF" w14:textId="77777777" w:rsidR="007E00FA" w:rsidRPr="00842A15" w:rsidRDefault="007E00FA" w:rsidP="00842A15">
      <w:pPr>
        <w:widowControl/>
        <w:numPr>
          <w:ilvl w:val="0"/>
          <w:numId w:val="5"/>
        </w:numPr>
        <w:autoSpaceDE/>
        <w:autoSpaceDN/>
        <w:spacing w:before="100" w:beforeAutospacing="1" w:after="100" w:afterAutospacing="1" w:line="276" w:lineRule="auto"/>
        <w:jc w:val="both"/>
        <w:rPr>
          <w:sz w:val="24"/>
          <w:szCs w:val="24"/>
        </w:rPr>
      </w:pPr>
      <w:r w:rsidRPr="00842A15">
        <w:rPr>
          <w:sz w:val="24"/>
          <w:szCs w:val="24"/>
        </w:rPr>
        <w:t>Supporting public awareness initiatives that encourage consumers to safeguard personal information, promptly report suspected SIM-related fraud and regularly update contact information linked to critical digital services.</w:t>
      </w:r>
    </w:p>
    <w:p w14:paraId="280CBF47" w14:textId="77777777" w:rsidR="007E00FA" w:rsidRPr="00842A15" w:rsidRDefault="007E00FA" w:rsidP="00842A15">
      <w:pPr>
        <w:widowControl/>
        <w:numPr>
          <w:ilvl w:val="0"/>
          <w:numId w:val="5"/>
        </w:numPr>
        <w:autoSpaceDE/>
        <w:autoSpaceDN/>
        <w:spacing w:before="100" w:beforeAutospacing="1" w:after="100" w:afterAutospacing="1" w:line="276" w:lineRule="auto"/>
        <w:jc w:val="both"/>
        <w:rPr>
          <w:sz w:val="24"/>
          <w:szCs w:val="24"/>
        </w:rPr>
      </w:pPr>
      <w:r w:rsidRPr="00842A15">
        <w:rPr>
          <w:sz w:val="24"/>
          <w:szCs w:val="24"/>
        </w:rPr>
        <w:lastRenderedPageBreak/>
        <w:t>Reviewing regulatory safeguards relating to SIM replacement and mobile number management to ensure they remain responsive to evolving fraud typologies, technological developments and consumer protection needs.</w:t>
      </w:r>
    </w:p>
    <w:p w14:paraId="0C12DFAA" w14:textId="233A34A0" w:rsidR="007E00FA" w:rsidRPr="00842A15" w:rsidRDefault="007E00FA" w:rsidP="00842A15">
      <w:pPr>
        <w:spacing w:before="100" w:beforeAutospacing="1" w:after="100" w:afterAutospacing="1" w:line="276" w:lineRule="auto"/>
        <w:jc w:val="both"/>
        <w:rPr>
          <w:sz w:val="24"/>
          <w:szCs w:val="24"/>
        </w:rPr>
      </w:pPr>
      <w:r w:rsidRPr="00842A15">
        <w:rPr>
          <w:sz w:val="24"/>
          <w:szCs w:val="24"/>
        </w:rPr>
        <w:t>These interventions reflect the Authority's commitment to strengthening the security and integrity of Kenya's communications ecosystem</w:t>
      </w:r>
      <w:r w:rsidR="00F85D59">
        <w:rPr>
          <w:sz w:val="24"/>
          <w:szCs w:val="24"/>
        </w:rPr>
        <w:t>,</w:t>
      </w:r>
      <w:r w:rsidRPr="00842A15">
        <w:rPr>
          <w:sz w:val="24"/>
          <w:szCs w:val="24"/>
        </w:rPr>
        <w:t xml:space="preserve"> while protecting consumers from increasingly sophisticated identity-related threats. The Authority will continue to review SIM replacement controls, enhance compliance monitoring and work closely with licensees to strengthen customer verification processes, reduce opportunities for fraud and ensure that legitimate consumers can access communications services securely, confidently and without unnecessary barriers.</w:t>
      </w:r>
    </w:p>
    <w:p w14:paraId="25D81A9B" w14:textId="77777777" w:rsidR="00D266A3" w:rsidRPr="00842A15" w:rsidRDefault="00D266A3" w:rsidP="00842A15">
      <w:pPr>
        <w:pStyle w:val="ListParagraph"/>
        <w:numPr>
          <w:ilvl w:val="1"/>
          <w:numId w:val="4"/>
        </w:numPr>
        <w:spacing w:before="100" w:beforeAutospacing="1" w:after="100" w:afterAutospacing="1" w:line="276" w:lineRule="auto"/>
        <w:ind w:right="119"/>
        <w:jc w:val="both"/>
        <w:rPr>
          <w:b/>
          <w:bCs/>
          <w:i/>
          <w:iCs/>
          <w:sz w:val="24"/>
          <w:szCs w:val="24"/>
        </w:rPr>
      </w:pPr>
      <w:r w:rsidRPr="00842A15">
        <w:rPr>
          <w:b/>
          <w:bCs/>
          <w:i/>
          <w:iCs/>
          <w:sz w:val="24"/>
          <w:szCs w:val="24"/>
        </w:rPr>
        <w:t>Protecting Consumers from Fraud and Digital Financial Crime</w:t>
      </w:r>
    </w:p>
    <w:p w14:paraId="6E816E18" w14:textId="77777777" w:rsidR="00D266A3" w:rsidRPr="00842A15" w:rsidRDefault="00D266A3" w:rsidP="00842A15">
      <w:pPr>
        <w:spacing w:before="100" w:beforeAutospacing="1" w:after="100" w:afterAutospacing="1" w:line="276" w:lineRule="auto"/>
        <w:jc w:val="both"/>
        <w:rPr>
          <w:sz w:val="24"/>
          <w:szCs w:val="24"/>
          <w:lang w:eastAsia="en-GB"/>
        </w:rPr>
      </w:pPr>
      <w:r w:rsidRPr="00842A15">
        <w:rPr>
          <w:sz w:val="24"/>
          <w:szCs w:val="24"/>
          <w:lang w:eastAsia="en-GB"/>
        </w:rPr>
        <w:t xml:space="preserve">As Kenya's digital economy continues to expand, so has the number and sophistication of fraud schemes targeting consumers across telecommunications and digital financial services. Complaint trends received during the quarter point to the continued evolution of fraud from traditional fraudulent calls and text messages to more complex schemes involving phishing, impersonation, fake promotions, social engineering, fraudulent mobile money transactions and online marketplace scams. </w:t>
      </w:r>
    </w:p>
    <w:p w14:paraId="76697AFD" w14:textId="77777777" w:rsidR="00D266A3" w:rsidRPr="00842A15" w:rsidRDefault="00D266A3" w:rsidP="00842A15">
      <w:pPr>
        <w:spacing w:before="100" w:beforeAutospacing="1" w:after="100" w:afterAutospacing="1" w:line="276" w:lineRule="auto"/>
        <w:jc w:val="both"/>
        <w:rPr>
          <w:sz w:val="24"/>
          <w:szCs w:val="24"/>
          <w:lang w:eastAsia="en-GB"/>
        </w:rPr>
      </w:pPr>
      <w:r w:rsidRPr="00842A15">
        <w:rPr>
          <w:sz w:val="24"/>
          <w:szCs w:val="24"/>
          <w:lang w:eastAsia="en-GB"/>
        </w:rPr>
        <w:t xml:space="preserve">During the quarter under review, the Authority received 110 complaints relating to Digital Financial Services and Mobile Money, including 86 complaints involving Fraud and Scams. In addition, complaints relating to fraudulent voice and data communications, cyber-enabled misuse of ICT infrastructure, and online abuse further demonstrate that communications networks continue to be exploited as conduits for financial and cyber-enabled fraud. These trends underscore the importance of a coordinated regulatory approach that not only protects consumers but also promotes trust and confidence in Kenya's digital economy. </w:t>
      </w:r>
    </w:p>
    <w:p w14:paraId="47A027E2" w14:textId="7B296874" w:rsidR="00D266A3" w:rsidRPr="00842A15" w:rsidRDefault="00D266A3" w:rsidP="3FD78F4F">
      <w:pPr>
        <w:spacing w:before="100" w:beforeAutospacing="1" w:after="100" w:afterAutospacing="1" w:line="276" w:lineRule="auto"/>
        <w:jc w:val="both"/>
        <w:rPr>
          <w:sz w:val="24"/>
          <w:szCs w:val="24"/>
          <w:lang w:eastAsia="en-GB"/>
        </w:rPr>
      </w:pPr>
      <w:r w:rsidRPr="3FD78F4F">
        <w:rPr>
          <w:sz w:val="24"/>
          <w:szCs w:val="24"/>
          <w:lang w:eastAsia="en-GB"/>
        </w:rPr>
        <w:t xml:space="preserve">The Authority continues to </w:t>
      </w:r>
      <w:r w:rsidR="007533F9" w:rsidRPr="3FD78F4F">
        <w:rPr>
          <w:sz w:val="24"/>
          <w:szCs w:val="24"/>
          <w:lang w:eastAsia="en-GB"/>
        </w:rPr>
        <w:t>analyze</w:t>
      </w:r>
      <w:r w:rsidRPr="3FD78F4F">
        <w:rPr>
          <w:sz w:val="24"/>
          <w:szCs w:val="24"/>
          <w:lang w:eastAsia="en-GB"/>
        </w:rPr>
        <w:t xml:space="preserve"> complaint trends and emerging fraud typologies to identify systemic risks, strengthen regulatory </w:t>
      </w:r>
      <w:r w:rsidR="6A44D0AC" w:rsidRPr="3FD78F4F">
        <w:rPr>
          <w:sz w:val="24"/>
          <w:szCs w:val="24"/>
          <w:lang w:eastAsia="en-GB"/>
        </w:rPr>
        <w:t>responses,</w:t>
      </w:r>
      <w:r w:rsidRPr="3FD78F4F">
        <w:rPr>
          <w:sz w:val="24"/>
          <w:szCs w:val="24"/>
          <w:lang w:eastAsia="en-GB"/>
        </w:rPr>
        <w:t xml:space="preserve"> and support the development of preventative measures across the communications sector.</w:t>
      </w:r>
    </w:p>
    <w:p w14:paraId="6626D933" w14:textId="77777777" w:rsidR="00D266A3" w:rsidRPr="00842A15" w:rsidRDefault="00D266A3" w:rsidP="00842A15">
      <w:pPr>
        <w:spacing w:before="100" w:beforeAutospacing="1" w:after="100" w:afterAutospacing="1" w:line="276" w:lineRule="auto"/>
        <w:jc w:val="both"/>
        <w:rPr>
          <w:sz w:val="24"/>
          <w:szCs w:val="24"/>
          <w:lang w:eastAsia="en-GB"/>
        </w:rPr>
      </w:pPr>
      <w:r w:rsidRPr="00842A15">
        <w:rPr>
          <w:sz w:val="24"/>
          <w:szCs w:val="24"/>
          <w:lang w:eastAsia="en-GB"/>
        </w:rPr>
        <w:t xml:space="preserve">Further, </w:t>
      </w:r>
      <w:proofErr w:type="gramStart"/>
      <w:r w:rsidRPr="00842A15">
        <w:rPr>
          <w:sz w:val="24"/>
          <w:szCs w:val="24"/>
          <w:lang w:eastAsia="en-GB"/>
        </w:rPr>
        <w:t>in order to</w:t>
      </w:r>
      <w:proofErr w:type="gramEnd"/>
      <w:r w:rsidRPr="00842A15">
        <w:rPr>
          <w:sz w:val="24"/>
          <w:szCs w:val="24"/>
          <w:lang w:eastAsia="en-GB"/>
        </w:rPr>
        <w:t xml:space="preserve"> strengthen consumer protection against fraud and digital financial crime, the Authority continues to:</w:t>
      </w:r>
    </w:p>
    <w:p w14:paraId="7B675A08" w14:textId="77777777" w:rsidR="00D266A3" w:rsidRPr="00842A15" w:rsidRDefault="00D266A3" w:rsidP="00842A15">
      <w:pPr>
        <w:widowControl/>
        <w:numPr>
          <w:ilvl w:val="0"/>
          <w:numId w:val="6"/>
        </w:numPr>
        <w:autoSpaceDE/>
        <w:autoSpaceDN/>
        <w:spacing w:before="100" w:beforeAutospacing="1" w:after="100" w:afterAutospacing="1" w:line="276" w:lineRule="auto"/>
        <w:jc w:val="both"/>
        <w:rPr>
          <w:sz w:val="24"/>
          <w:szCs w:val="24"/>
          <w:lang w:eastAsia="en-GB"/>
        </w:rPr>
      </w:pPr>
      <w:r w:rsidRPr="00842A15">
        <w:rPr>
          <w:sz w:val="24"/>
          <w:szCs w:val="24"/>
          <w:lang w:eastAsia="en-GB"/>
        </w:rPr>
        <w:t>Enhance collaboration with telecommunications operators to detect, investigate and address emerging fraud trends affecting consumers.</w:t>
      </w:r>
    </w:p>
    <w:p w14:paraId="46F5E34F" w14:textId="77777777" w:rsidR="00D266A3" w:rsidRPr="00842A15" w:rsidRDefault="00D266A3" w:rsidP="00842A15">
      <w:pPr>
        <w:widowControl/>
        <w:numPr>
          <w:ilvl w:val="0"/>
          <w:numId w:val="6"/>
        </w:numPr>
        <w:autoSpaceDE/>
        <w:autoSpaceDN/>
        <w:spacing w:before="100" w:beforeAutospacing="1" w:after="100" w:afterAutospacing="1" w:line="276" w:lineRule="auto"/>
        <w:jc w:val="both"/>
        <w:rPr>
          <w:sz w:val="24"/>
          <w:szCs w:val="24"/>
          <w:lang w:eastAsia="en-GB"/>
        </w:rPr>
      </w:pPr>
      <w:r w:rsidRPr="00842A15">
        <w:rPr>
          <w:sz w:val="24"/>
          <w:szCs w:val="24"/>
          <w:lang w:eastAsia="en-GB"/>
        </w:rPr>
        <w:t>Strengthen coordination with financial sector regulators, financial service providers, law enforcement agencies and cybersecurity stakeholders to support a whole-of-government response to digital fraud.</w:t>
      </w:r>
    </w:p>
    <w:p w14:paraId="621E3805" w14:textId="2E638955" w:rsidR="00D266A3" w:rsidRPr="00842A15" w:rsidRDefault="00D266A3" w:rsidP="3FD78F4F">
      <w:pPr>
        <w:widowControl/>
        <w:numPr>
          <w:ilvl w:val="0"/>
          <w:numId w:val="6"/>
        </w:numPr>
        <w:autoSpaceDE/>
        <w:autoSpaceDN/>
        <w:spacing w:before="100" w:beforeAutospacing="1" w:after="100" w:afterAutospacing="1" w:line="276" w:lineRule="auto"/>
        <w:jc w:val="both"/>
        <w:rPr>
          <w:sz w:val="24"/>
          <w:szCs w:val="24"/>
          <w:lang w:eastAsia="en-GB"/>
        </w:rPr>
      </w:pPr>
      <w:r w:rsidRPr="3FD78F4F">
        <w:rPr>
          <w:sz w:val="24"/>
          <w:szCs w:val="24"/>
          <w:lang w:eastAsia="en-GB"/>
        </w:rPr>
        <w:t xml:space="preserve">Promote the implementation of fraud detection, </w:t>
      </w:r>
      <w:r w:rsidR="57D5EF23" w:rsidRPr="3FD78F4F">
        <w:rPr>
          <w:sz w:val="24"/>
          <w:szCs w:val="24"/>
          <w:lang w:eastAsia="en-GB"/>
        </w:rPr>
        <w:t>monitoring,</w:t>
      </w:r>
      <w:r w:rsidRPr="3FD78F4F">
        <w:rPr>
          <w:sz w:val="24"/>
          <w:szCs w:val="24"/>
          <w:lang w:eastAsia="en-GB"/>
        </w:rPr>
        <w:t xml:space="preserve"> and early warning mechanisms by licensed service providers to </w:t>
      </w:r>
      <w:r w:rsidR="007533F9" w:rsidRPr="3FD78F4F">
        <w:rPr>
          <w:sz w:val="24"/>
          <w:szCs w:val="24"/>
          <w:lang w:eastAsia="en-GB"/>
        </w:rPr>
        <w:t>minimize</w:t>
      </w:r>
      <w:r w:rsidRPr="3FD78F4F">
        <w:rPr>
          <w:sz w:val="24"/>
          <w:szCs w:val="24"/>
          <w:lang w:eastAsia="en-GB"/>
        </w:rPr>
        <w:t xml:space="preserve"> consumer exposure to fraudulent activities.</w:t>
      </w:r>
    </w:p>
    <w:p w14:paraId="3C580E5A" w14:textId="46AD8990" w:rsidR="00D266A3" w:rsidRPr="00842A15" w:rsidRDefault="00D266A3" w:rsidP="3FD78F4F">
      <w:pPr>
        <w:widowControl/>
        <w:numPr>
          <w:ilvl w:val="0"/>
          <w:numId w:val="6"/>
        </w:numPr>
        <w:autoSpaceDE/>
        <w:autoSpaceDN/>
        <w:spacing w:before="100" w:beforeAutospacing="1" w:after="100" w:afterAutospacing="1" w:line="276" w:lineRule="auto"/>
        <w:jc w:val="both"/>
        <w:rPr>
          <w:sz w:val="24"/>
          <w:szCs w:val="24"/>
          <w:lang w:eastAsia="en-GB"/>
        </w:rPr>
      </w:pPr>
      <w:r w:rsidRPr="3FD78F4F">
        <w:rPr>
          <w:sz w:val="24"/>
          <w:szCs w:val="24"/>
          <w:lang w:eastAsia="en-GB"/>
        </w:rPr>
        <w:t xml:space="preserve">Support consumer awareness and digital literacy initiatives to equip consumers with the knowledge required to </w:t>
      </w:r>
      <w:r w:rsidR="007533F9" w:rsidRPr="3FD78F4F">
        <w:rPr>
          <w:sz w:val="24"/>
          <w:szCs w:val="24"/>
          <w:lang w:eastAsia="en-GB"/>
        </w:rPr>
        <w:t>recognize</w:t>
      </w:r>
      <w:r w:rsidRPr="3FD78F4F">
        <w:rPr>
          <w:sz w:val="24"/>
          <w:szCs w:val="24"/>
          <w:lang w:eastAsia="en-GB"/>
        </w:rPr>
        <w:t xml:space="preserve"> phishing attempts, fraudulent communications, fake </w:t>
      </w:r>
      <w:r w:rsidR="00C61F08" w:rsidRPr="3FD78F4F">
        <w:rPr>
          <w:sz w:val="24"/>
          <w:szCs w:val="24"/>
          <w:lang w:eastAsia="en-GB"/>
        </w:rPr>
        <w:t>promotions,</w:t>
      </w:r>
      <w:r w:rsidRPr="3FD78F4F">
        <w:rPr>
          <w:sz w:val="24"/>
          <w:szCs w:val="24"/>
          <w:lang w:eastAsia="en-GB"/>
        </w:rPr>
        <w:t xml:space="preserve"> and other evolving scam tactics.</w:t>
      </w:r>
    </w:p>
    <w:p w14:paraId="192B7A2D" w14:textId="77777777" w:rsidR="00D266A3" w:rsidRPr="00842A15" w:rsidRDefault="00D266A3" w:rsidP="00842A15">
      <w:pPr>
        <w:widowControl/>
        <w:numPr>
          <w:ilvl w:val="0"/>
          <w:numId w:val="6"/>
        </w:numPr>
        <w:autoSpaceDE/>
        <w:autoSpaceDN/>
        <w:spacing w:before="100" w:beforeAutospacing="1" w:after="100" w:afterAutospacing="1" w:line="276" w:lineRule="auto"/>
        <w:jc w:val="both"/>
        <w:rPr>
          <w:sz w:val="24"/>
          <w:szCs w:val="24"/>
          <w:lang w:eastAsia="en-GB"/>
        </w:rPr>
      </w:pPr>
      <w:r w:rsidRPr="00842A15">
        <w:rPr>
          <w:sz w:val="24"/>
          <w:szCs w:val="24"/>
          <w:lang w:eastAsia="en-GB"/>
        </w:rPr>
        <w:lastRenderedPageBreak/>
        <w:t>Facilitate timely reporting and regulatory escalation of fraud-related complaints, enabling prompt intervention and continuous monitoring of emerging risks.</w:t>
      </w:r>
    </w:p>
    <w:p w14:paraId="33FABDE8" w14:textId="77777777" w:rsidR="00D266A3" w:rsidRPr="00842A15" w:rsidRDefault="00D266A3" w:rsidP="00842A15">
      <w:pPr>
        <w:widowControl/>
        <w:numPr>
          <w:ilvl w:val="0"/>
          <w:numId w:val="6"/>
        </w:numPr>
        <w:autoSpaceDE/>
        <w:autoSpaceDN/>
        <w:spacing w:before="100" w:beforeAutospacing="1" w:after="100" w:afterAutospacing="1" w:line="276" w:lineRule="auto"/>
        <w:jc w:val="both"/>
        <w:rPr>
          <w:sz w:val="24"/>
          <w:szCs w:val="24"/>
          <w:lang w:eastAsia="en-GB"/>
        </w:rPr>
      </w:pPr>
      <w:r w:rsidRPr="00842A15">
        <w:rPr>
          <w:sz w:val="24"/>
          <w:szCs w:val="24"/>
          <w:lang w:eastAsia="en-GB"/>
        </w:rPr>
        <w:t>Promote information sharing across industry stakeholders to improve threat intelligence, disrupt fraud syndicates and strengthen sector-wide resilience.</w:t>
      </w:r>
    </w:p>
    <w:p w14:paraId="3554318B" w14:textId="6954F727" w:rsidR="00D266A3" w:rsidRPr="00842A15" w:rsidRDefault="00D266A3" w:rsidP="3FD78F4F">
      <w:pPr>
        <w:widowControl/>
        <w:numPr>
          <w:ilvl w:val="0"/>
          <w:numId w:val="6"/>
        </w:numPr>
        <w:autoSpaceDE/>
        <w:autoSpaceDN/>
        <w:spacing w:before="100" w:beforeAutospacing="1" w:after="100" w:afterAutospacing="1" w:line="276" w:lineRule="auto"/>
        <w:jc w:val="both"/>
        <w:rPr>
          <w:sz w:val="24"/>
          <w:szCs w:val="24"/>
          <w:lang w:eastAsia="en-GB"/>
        </w:rPr>
      </w:pPr>
      <w:r w:rsidRPr="3FD78F4F">
        <w:rPr>
          <w:sz w:val="24"/>
          <w:szCs w:val="24"/>
          <w:lang w:eastAsia="en-GB"/>
        </w:rPr>
        <w:t xml:space="preserve">Monitor compliance with consumer protection obligations by licensed operators to ensure effective complaint handling, timely resolution of fraud </w:t>
      </w:r>
      <w:r w:rsidR="283C1E16" w:rsidRPr="3FD78F4F">
        <w:rPr>
          <w:sz w:val="24"/>
          <w:szCs w:val="24"/>
          <w:lang w:eastAsia="en-GB"/>
        </w:rPr>
        <w:t>incidents,</w:t>
      </w:r>
      <w:r w:rsidRPr="3FD78F4F">
        <w:rPr>
          <w:sz w:val="24"/>
          <w:szCs w:val="24"/>
          <w:lang w:eastAsia="en-GB"/>
        </w:rPr>
        <w:t xml:space="preserve"> and appropriate consumer safeguards.</w:t>
      </w:r>
    </w:p>
    <w:p w14:paraId="79FD672D" w14:textId="368D0E12" w:rsidR="00D266A3" w:rsidRPr="00842A15" w:rsidRDefault="007533F9" w:rsidP="00842A15">
      <w:pPr>
        <w:widowControl/>
        <w:numPr>
          <w:ilvl w:val="0"/>
          <w:numId w:val="6"/>
        </w:numPr>
        <w:autoSpaceDE/>
        <w:autoSpaceDN/>
        <w:spacing w:before="100" w:beforeAutospacing="1" w:after="100" w:afterAutospacing="1" w:line="276" w:lineRule="auto"/>
        <w:jc w:val="both"/>
        <w:rPr>
          <w:sz w:val="24"/>
          <w:szCs w:val="24"/>
          <w:lang w:eastAsia="en-GB"/>
        </w:rPr>
      </w:pPr>
      <w:r w:rsidRPr="00842A15">
        <w:rPr>
          <w:sz w:val="24"/>
          <w:szCs w:val="24"/>
          <w:lang w:eastAsia="en-GB"/>
        </w:rPr>
        <w:t>Utilize</w:t>
      </w:r>
      <w:r w:rsidR="00D266A3" w:rsidRPr="00842A15">
        <w:rPr>
          <w:sz w:val="24"/>
          <w:szCs w:val="24"/>
          <w:lang w:eastAsia="en-GB"/>
        </w:rPr>
        <w:t xml:space="preserve"> complaint data and market intelligence to inform regulatory policy, compliance priorities and targeted consumer protection initiatives.</w:t>
      </w:r>
    </w:p>
    <w:p w14:paraId="096C26B5" w14:textId="5F2B5FC3" w:rsidR="00D266A3" w:rsidRPr="00842A15" w:rsidRDefault="00D266A3" w:rsidP="3FD78F4F">
      <w:pPr>
        <w:spacing w:before="100" w:beforeAutospacing="1" w:after="100" w:afterAutospacing="1" w:line="276" w:lineRule="auto"/>
        <w:jc w:val="both"/>
        <w:rPr>
          <w:sz w:val="24"/>
          <w:szCs w:val="24"/>
          <w:lang w:eastAsia="en-GB"/>
        </w:rPr>
      </w:pPr>
      <w:r w:rsidRPr="3FD78F4F">
        <w:rPr>
          <w:sz w:val="24"/>
          <w:szCs w:val="24"/>
          <w:lang w:eastAsia="en-GB"/>
        </w:rPr>
        <w:t xml:space="preserve">The Authority </w:t>
      </w:r>
      <w:r w:rsidR="007533F9" w:rsidRPr="3FD78F4F">
        <w:rPr>
          <w:sz w:val="24"/>
          <w:szCs w:val="24"/>
          <w:lang w:eastAsia="en-GB"/>
        </w:rPr>
        <w:t>recognizes</w:t>
      </w:r>
      <w:r w:rsidRPr="3FD78F4F">
        <w:rPr>
          <w:sz w:val="24"/>
          <w:szCs w:val="24"/>
          <w:lang w:eastAsia="en-GB"/>
        </w:rPr>
        <w:t xml:space="preserve"> that fraud prevention requires a collaborative ecosystem approach involving regulators, communications service providers, financial institutions, technology platforms, law enforcement </w:t>
      </w:r>
      <w:r w:rsidR="1EB8D18D" w:rsidRPr="3FD78F4F">
        <w:rPr>
          <w:sz w:val="24"/>
          <w:szCs w:val="24"/>
          <w:lang w:eastAsia="en-GB"/>
        </w:rPr>
        <w:t>agencies,</w:t>
      </w:r>
      <w:r w:rsidRPr="3FD78F4F">
        <w:rPr>
          <w:sz w:val="24"/>
          <w:szCs w:val="24"/>
          <w:lang w:eastAsia="en-GB"/>
        </w:rPr>
        <w:t xml:space="preserve"> and consumers. As a result, the Authority continues to strengthen regulatory oversight, promote industry collaboration and enhance consumer awareness to reduce fraud risks, improve consumer confidence and foster a secure, trusted and resilient digital communications environment.</w:t>
      </w:r>
    </w:p>
    <w:p w14:paraId="5AE86984" w14:textId="77777777" w:rsidR="00105878" w:rsidRPr="00842A15" w:rsidRDefault="00105878" w:rsidP="00842A15">
      <w:pPr>
        <w:pStyle w:val="ListParagraph"/>
        <w:numPr>
          <w:ilvl w:val="1"/>
          <w:numId w:val="4"/>
        </w:numPr>
        <w:spacing w:before="100" w:beforeAutospacing="1" w:after="100" w:afterAutospacing="1" w:line="276" w:lineRule="auto"/>
        <w:ind w:right="119"/>
        <w:jc w:val="both"/>
        <w:rPr>
          <w:b/>
          <w:bCs/>
          <w:i/>
          <w:iCs/>
          <w:sz w:val="24"/>
          <w:szCs w:val="24"/>
        </w:rPr>
      </w:pPr>
      <w:r w:rsidRPr="00842A15">
        <w:rPr>
          <w:b/>
          <w:bCs/>
          <w:i/>
          <w:iCs/>
          <w:sz w:val="24"/>
          <w:szCs w:val="24"/>
        </w:rPr>
        <w:t>Ensuring Only Type-Approved Communications Equipment Enters the Market</w:t>
      </w:r>
    </w:p>
    <w:p w14:paraId="2124E42B" w14:textId="006C3783" w:rsidR="00105878" w:rsidRPr="00842A15" w:rsidRDefault="00105878" w:rsidP="3FD78F4F">
      <w:pPr>
        <w:spacing w:before="100" w:beforeAutospacing="1" w:after="100" w:afterAutospacing="1" w:line="276" w:lineRule="auto"/>
        <w:jc w:val="both"/>
        <w:rPr>
          <w:sz w:val="24"/>
          <w:szCs w:val="24"/>
          <w:lang w:eastAsia="en-GB"/>
        </w:rPr>
      </w:pPr>
      <w:r w:rsidRPr="3FD78F4F">
        <w:rPr>
          <w:sz w:val="24"/>
          <w:szCs w:val="24"/>
          <w:lang w:eastAsia="en-GB"/>
        </w:rPr>
        <w:t xml:space="preserve">The increasing reliance on digital connectivity has heightened consumer demand for reliable, </w:t>
      </w:r>
      <w:r w:rsidR="2B3D54A8" w:rsidRPr="3FD78F4F">
        <w:rPr>
          <w:sz w:val="24"/>
          <w:szCs w:val="24"/>
          <w:lang w:eastAsia="en-GB"/>
        </w:rPr>
        <w:t>safe,</w:t>
      </w:r>
      <w:r w:rsidRPr="3FD78F4F">
        <w:rPr>
          <w:sz w:val="24"/>
          <w:szCs w:val="24"/>
          <w:lang w:eastAsia="en-GB"/>
        </w:rPr>
        <w:t xml:space="preserve"> and interoperable communications equipment. </w:t>
      </w:r>
    </w:p>
    <w:p w14:paraId="448F53C1" w14:textId="372CC10C" w:rsidR="001820FB" w:rsidRPr="00842A15" w:rsidRDefault="00105878" w:rsidP="3FD78F4F">
      <w:pPr>
        <w:spacing w:before="100" w:beforeAutospacing="1" w:after="100" w:afterAutospacing="1" w:line="276" w:lineRule="auto"/>
        <w:jc w:val="both"/>
        <w:rPr>
          <w:sz w:val="24"/>
          <w:szCs w:val="24"/>
          <w:lang w:eastAsia="en-GB"/>
        </w:rPr>
      </w:pPr>
      <w:r w:rsidRPr="3FD78F4F">
        <w:rPr>
          <w:sz w:val="24"/>
          <w:szCs w:val="24"/>
          <w:lang w:eastAsia="en-GB"/>
        </w:rPr>
        <w:t>During the quarter under review, the Authority receive</w:t>
      </w:r>
      <w:r w:rsidR="00045009">
        <w:rPr>
          <w:sz w:val="24"/>
          <w:szCs w:val="24"/>
          <w:lang w:eastAsia="en-GB"/>
        </w:rPr>
        <w:t>d</w:t>
      </w:r>
      <w:r w:rsidRPr="3FD78F4F">
        <w:rPr>
          <w:sz w:val="24"/>
          <w:szCs w:val="24"/>
          <w:lang w:eastAsia="en-GB"/>
        </w:rPr>
        <w:t xml:space="preserve"> complaints relating to Customer Premises Equipment (CPE), with 19 complaints recorded, alongside complaints associated with poor service performance that may be attributable to non-compliant or substandard consumer equipment. Consumers reported challenges relating to faulty modems, poor-performing routers, incompatible communications </w:t>
      </w:r>
      <w:r w:rsidR="701C8690" w:rsidRPr="3FD78F4F">
        <w:rPr>
          <w:sz w:val="24"/>
          <w:szCs w:val="24"/>
          <w:lang w:eastAsia="en-GB"/>
        </w:rPr>
        <w:t>devices,</w:t>
      </w:r>
      <w:r w:rsidRPr="3FD78F4F">
        <w:rPr>
          <w:sz w:val="24"/>
          <w:szCs w:val="24"/>
          <w:lang w:eastAsia="en-GB"/>
        </w:rPr>
        <w:t xml:space="preserve"> and equipment that failed to meet expected performance standards. These complaints highlight the importance of ensuring that only communications equipment meeting prescribed technical and safety standards is available on the Kenyan market.</w:t>
      </w:r>
    </w:p>
    <w:p w14:paraId="26BFA667" w14:textId="688720EE" w:rsidR="00105878" w:rsidRPr="00842A15" w:rsidRDefault="00105878" w:rsidP="00842A15">
      <w:pPr>
        <w:spacing w:before="100" w:beforeAutospacing="1" w:after="100" w:afterAutospacing="1" w:line="276" w:lineRule="auto"/>
        <w:jc w:val="both"/>
        <w:rPr>
          <w:sz w:val="24"/>
          <w:szCs w:val="24"/>
          <w:lang w:eastAsia="en-GB"/>
        </w:rPr>
      </w:pPr>
      <w:r w:rsidRPr="00842A15">
        <w:rPr>
          <w:sz w:val="24"/>
          <w:szCs w:val="24"/>
          <w:lang w:eastAsia="en-GB"/>
        </w:rPr>
        <w:t xml:space="preserve">The Authority </w:t>
      </w:r>
      <w:r w:rsidR="007533F9" w:rsidRPr="00842A15">
        <w:rPr>
          <w:sz w:val="24"/>
          <w:szCs w:val="24"/>
          <w:lang w:eastAsia="en-GB"/>
        </w:rPr>
        <w:t>recognizes</w:t>
      </w:r>
      <w:r w:rsidRPr="00842A15">
        <w:rPr>
          <w:sz w:val="24"/>
          <w:szCs w:val="24"/>
          <w:lang w:eastAsia="en-GB"/>
        </w:rPr>
        <w:t xml:space="preserve"> that the use of counterfeit, unapproved or technically incompatible equipment not only degrades consumer experience but may also compromise network integrity, increase cybersecurity vulnerabilities and expose consumers to unnecessary financial losses through repeated equipment replacement or poor service performance.</w:t>
      </w:r>
    </w:p>
    <w:p w14:paraId="215F850D" w14:textId="77777777" w:rsidR="00105878" w:rsidRPr="00842A15" w:rsidRDefault="00105878" w:rsidP="00842A15">
      <w:pPr>
        <w:spacing w:before="100" w:beforeAutospacing="1" w:after="100" w:afterAutospacing="1" w:line="276" w:lineRule="auto"/>
        <w:jc w:val="both"/>
        <w:rPr>
          <w:sz w:val="24"/>
          <w:szCs w:val="24"/>
          <w:lang w:eastAsia="en-GB"/>
        </w:rPr>
      </w:pPr>
      <w:proofErr w:type="gramStart"/>
      <w:r w:rsidRPr="00842A15">
        <w:rPr>
          <w:sz w:val="24"/>
          <w:szCs w:val="24"/>
          <w:lang w:eastAsia="en-GB"/>
        </w:rPr>
        <w:t>In order to</w:t>
      </w:r>
      <w:proofErr w:type="gramEnd"/>
      <w:r w:rsidRPr="00842A15">
        <w:rPr>
          <w:sz w:val="24"/>
          <w:szCs w:val="24"/>
          <w:lang w:eastAsia="en-GB"/>
        </w:rPr>
        <w:t xml:space="preserve"> safeguard consumers and preserve the integrity of Kenya's communications networks, the Authority continues to:</w:t>
      </w:r>
    </w:p>
    <w:p w14:paraId="68801013" w14:textId="77777777" w:rsidR="00105878" w:rsidRPr="00842A15" w:rsidRDefault="00105878" w:rsidP="00842A15">
      <w:pPr>
        <w:widowControl/>
        <w:numPr>
          <w:ilvl w:val="0"/>
          <w:numId w:val="7"/>
        </w:numPr>
        <w:autoSpaceDE/>
        <w:autoSpaceDN/>
        <w:spacing w:before="100" w:beforeAutospacing="1" w:after="100" w:afterAutospacing="1" w:line="276" w:lineRule="auto"/>
        <w:jc w:val="both"/>
        <w:rPr>
          <w:sz w:val="24"/>
          <w:szCs w:val="24"/>
          <w:lang w:eastAsia="en-GB"/>
        </w:rPr>
      </w:pPr>
      <w:r w:rsidRPr="00842A15">
        <w:rPr>
          <w:sz w:val="24"/>
          <w:szCs w:val="24"/>
          <w:lang w:eastAsia="en-GB"/>
        </w:rPr>
        <w:t>Enforce the Type Approval framework to ensure that communications equipment placed on the market complies with prescribed technical, safety and interoperability requirements.</w:t>
      </w:r>
    </w:p>
    <w:p w14:paraId="13F58644" w14:textId="77777777" w:rsidR="00105878" w:rsidRPr="00842A15" w:rsidRDefault="00105878" w:rsidP="00842A15">
      <w:pPr>
        <w:widowControl/>
        <w:numPr>
          <w:ilvl w:val="0"/>
          <w:numId w:val="7"/>
        </w:numPr>
        <w:autoSpaceDE/>
        <w:autoSpaceDN/>
        <w:spacing w:before="100" w:beforeAutospacing="1" w:after="100" w:afterAutospacing="1" w:line="276" w:lineRule="auto"/>
        <w:jc w:val="both"/>
        <w:rPr>
          <w:sz w:val="24"/>
          <w:szCs w:val="24"/>
          <w:lang w:eastAsia="en-GB"/>
        </w:rPr>
      </w:pPr>
      <w:r w:rsidRPr="00842A15">
        <w:rPr>
          <w:sz w:val="24"/>
          <w:szCs w:val="24"/>
          <w:lang w:eastAsia="en-GB"/>
        </w:rPr>
        <w:t>Conduct market surveillance and compliance inspections to identify and deter the sale, distribution and use of non-compliant communications equipment.</w:t>
      </w:r>
    </w:p>
    <w:p w14:paraId="4D2C9E9E" w14:textId="36C929BC" w:rsidR="00105878" w:rsidRPr="00842A15" w:rsidRDefault="00105878" w:rsidP="3FD78F4F">
      <w:pPr>
        <w:widowControl/>
        <w:numPr>
          <w:ilvl w:val="0"/>
          <w:numId w:val="7"/>
        </w:numPr>
        <w:autoSpaceDE/>
        <w:autoSpaceDN/>
        <w:spacing w:before="100" w:beforeAutospacing="1" w:after="100" w:afterAutospacing="1" w:line="276" w:lineRule="auto"/>
        <w:jc w:val="both"/>
        <w:rPr>
          <w:sz w:val="24"/>
          <w:szCs w:val="24"/>
          <w:lang w:eastAsia="en-GB"/>
        </w:rPr>
      </w:pPr>
      <w:r w:rsidRPr="3FD78F4F">
        <w:rPr>
          <w:sz w:val="24"/>
          <w:szCs w:val="24"/>
          <w:lang w:eastAsia="en-GB"/>
        </w:rPr>
        <w:t xml:space="preserve">Undertake inspections of importers, </w:t>
      </w:r>
      <w:r w:rsidR="5BF28A92" w:rsidRPr="3FD78F4F">
        <w:rPr>
          <w:sz w:val="24"/>
          <w:szCs w:val="24"/>
          <w:lang w:eastAsia="en-GB"/>
        </w:rPr>
        <w:t>distributors,</w:t>
      </w:r>
      <w:r w:rsidRPr="3FD78F4F">
        <w:rPr>
          <w:sz w:val="24"/>
          <w:szCs w:val="24"/>
          <w:lang w:eastAsia="en-GB"/>
        </w:rPr>
        <w:t xml:space="preserve"> and vendors to verify compliance with Type Approval requirements.</w:t>
      </w:r>
    </w:p>
    <w:p w14:paraId="43CDEAEA" w14:textId="68D2EDA0" w:rsidR="00105878" w:rsidRPr="00842A15" w:rsidRDefault="00105878" w:rsidP="00842A15">
      <w:pPr>
        <w:widowControl/>
        <w:numPr>
          <w:ilvl w:val="0"/>
          <w:numId w:val="7"/>
        </w:numPr>
        <w:autoSpaceDE/>
        <w:autoSpaceDN/>
        <w:spacing w:before="100" w:beforeAutospacing="1" w:after="100" w:afterAutospacing="1" w:line="276" w:lineRule="auto"/>
        <w:jc w:val="both"/>
        <w:rPr>
          <w:sz w:val="24"/>
          <w:szCs w:val="24"/>
          <w:lang w:eastAsia="en-GB"/>
        </w:rPr>
      </w:pPr>
      <w:r w:rsidRPr="00842A15">
        <w:rPr>
          <w:sz w:val="24"/>
          <w:szCs w:val="24"/>
          <w:lang w:eastAsia="en-GB"/>
        </w:rPr>
        <w:lastRenderedPageBreak/>
        <w:t xml:space="preserve">Work collaboratively with the </w:t>
      </w:r>
      <w:r w:rsidR="006A44DD">
        <w:rPr>
          <w:sz w:val="24"/>
          <w:szCs w:val="24"/>
          <w:lang w:eastAsia="en-GB"/>
        </w:rPr>
        <w:t xml:space="preserve">Anti-Counterfeit Authority, </w:t>
      </w:r>
      <w:r w:rsidRPr="00842A15">
        <w:rPr>
          <w:sz w:val="24"/>
          <w:szCs w:val="24"/>
          <w:lang w:eastAsia="en-GB"/>
        </w:rPr>
        <w:t>Kenya Revenue Authority, enforcement agencies and other relevant stakeholders to prevent the importation and distribution of counterfeit, substandard and unapproved communications equipment.</w:t>
      </w:r>
    </w:p>
    <w:p w14:paraId="4DB9F2D7" w14:textId="6846FEC2" w:rsidR="00105878" w:rsidRPr="00842A15" w:rsidRDefault="00105878" w:rsidP="00842A15">
      <w:pPr>
        <w:widowControl/>
        <w:numPr>
          <w:ilvl w:val="0"/>
          <w:numId w:val="7"/>
        </w:numPr>
        <w:autoSpaceDE/>
        <w:autoSpaceDN/>
        <w:spacing w:before="100" w:beforeAutospacing="1" w:after="100" w:afterAutospacing="1" w:line="276" w:lineRule="auto"/>
        <w:jc w:val="both"/>
        <w:rPr>
          <w:sz w:val="24"/>
          <w:szCs w:val="24"/>
          <w:lang w:eastAsia="en-GB"/>
        </w:rPr>
      </w:pPr>
      <w:r w:rsidRPr="00842A15">
        <w:rPr>
          <w:sz w:val="24"/>
          <w:szCs w:val="24"/>
          <w:lang w:eastAsia="en-GB"/>
        </w:rPr>
        <w:t xml:space="preserve">Promote consumer awareness on the importance of purchasing Type Approved communications devices through </w:t>
      </w:r>
      <w:r w:rsidR="007533F9" w:rsidRPr="00842A15">
        <w:rPr>
          <w:sz w:val="24"/>
          <w:szCs w:val="24"/>
          <w:lang w:eastAsia="en-GB"/>
        </w:rPr>
        <w:t>authorized</w:t>
      </w:r>
      <w:r w:rsidRPr="00842A15">
        <w:rPr>
          <w:sz w:val="24"/>
          <w:szCs w:val="24"/>
          <w:lang w:eastAsia="en-GB"/>
        </w:rPr>
        <w:t xml:space="preserve"> channels.</w:t>
      </w:r>
    </w:p>
    <w:p w14:paraId="71A60828" w14:textId="77777777" w:rsidR="00105878" w:rsidRPr="00842A15" w:rsidRDefault="00105878" w:rsidP="00842A15">
      <w:pPr>
        <w:widowControl/>
        <w:numPr>
          <w:ilvl w:val="0"/>
          <w:numId w:val="7"/>
        </w:numPr>
        <w:autoSpaceDE/>
        <w:autoSpaceDN/>
        <w:spacing w:before="100" w:beforeAutospacing="1" w:after="100" w:afterAutospacing="1" w:line="276" w:lineRule="auto"/>
        <w:jc w:val="both"/>
        <w:rPr>
          <w:sz w:val="24"/>
          <w:szCs w:val="24"/>
          <w:lang w:eastAsia="en-GB"/>
        </w:rPr>
      </w:pPr>
      <w:r w:rsidRPr="00842A15">
        <w:rPr>
          <w:sz w:val="24"/>
          <w:szCs w:val="24"/>
          <w:lang w:eastAsia="en-GB"/>
        </w:rPr>
        <w:t>Continuously review emerging technologies and equipment standards to ensure the regulatory framework remains responsive to innovation while safeguarding consumer interests.</w:t>
      </w:r>
    </w:p>
    <w:p w14:paraId="0993CF82" w14:textId="77777777" w:rsidR="00105878" w:rsidRPr="00842A15" w:rsidRDefault="00105878" w:rsidP="00842A15">
      <w:pPr>
        <w:spacing w:before="100" w:beforeAutospacing="1" w:after="100" w:afterAutospacing="1" w:line="276" w:lineRule="auto"/>
        <w:jc w:val="both"/>
        <w:rPr>
          <w:sz w:val="24"/>
          <w:szCs w:val="24"/>
          <w:lang w:eastAsia="en-GB"/>
        </w:rPr>
      </w:pPr>
      <w:r w:rsidRPr="00842A15">
        <w:rPr>
          <w:sz w:val="24"/>
          <w:szCs w:val="24"/>
          <w:lang w:eastAsia="en-GB"/>
        </w:rPr>
        <w:t>These interventions demonstrate the Authority's commitment to protecting consumers from unsafe and substandard communications equipment while promoting a competitive market founded on quality, safety and regulatory compliance.</w:t>
      </w:r>
    </w:p>
    <w:p w14:paraId="068C7423" w14:textId="77777777" w:rsidR="00105878" w:rsidRPr="00842A15" w:rsidRDefault="00105878" w:rsidP="00842A15">
      <w:pPr>
        <w:pStyle w:val="ListParagraph"/>
        <w:numPr>
          <w:ilvl w:val="1"/>
          <w:numId w:val="4"/>
        </w:numPr>
        <w:spacing w:before="100" w:beforeAutospacing="1" w:after="100" w:afterAutospacing="1" w:line="276" w:lineRule="auto"/>
        <w:ind w:right="119"/>
        <w:jc w:val="both"/>
        <w:rPr>
          <w:b/>
          <w:bCs/>
          <w:i/>
          <w:iCs/>
          <w:sz w:val="24"/>
          <w:szCs w:val="24"/>
        </w:rPr>
      </w:pPr>
      <w:r w:rsidRPr="00842A15">
        <w:rPr>
          <w:b/>
          <w:bCs/>
          <w:i/>
          <w:iCs/>
          <w:sz w:val="24"/>
          <w:szCs w:val="24"/>
        </w:rPr>
        <w:t>Protecting Consumer Data and Privacy</w:t>
      </w:r>
    </w:p>
    <w:p w14:paraId="5550283F" w14:textId="77777777" w:rsidR="00105878" w:rsidRPr="00842A15" w:rsidRDefault="00105878" w:rsidP="00842A15">
      <w:pPr>
        <w:spacing w:before="100" w:beforeAutospacing="1" w:after="100" w:afterAutospacing="1" w:line="276" w:lineRule="auto"/>
        <w:jc w:val="both"/>
        <w:rPr>
          <w:sz w:val="24"/>
          <w:szCs w:val="24"/>
          <w:lang w:eastAsia="en-GB"/>
        </w:rPr>
      </w:pPr>
      <w:r w:rsidRPr="00842A15">
        <w:rPr>
          <w:sz w:val="24"/>
          <w:szCs w:val="24"/>
          <w:lang w:eastAsia="en-GB"/>
        </w:rPr>
        <w:t xml:space="preserve">As consumers increasingly rely on digital communications platforms to access financial, government and commercial services, safeguarding personal data and protecting consumer privacy have become central to maintaining trust in the digital ecosystem. </w:t>
      </w:r>
    </w:p>
    <w:p w14:paraId="7F24E84D" w14:textId="1A897CFA" w:rsidR="00105878" w:rsidRPr="00842A15" w:rsidRDefault="00105878" w:rsidP="00842A15">
      <w:pPr>
        <w:spacing w:before="100" w:beforeAutospacing="1" w:after="100" w:afterAutospacing="1" w:line="276" w:lineRule="auto"/>
        <w:jc w:val="both"/>
        <w:rPr>
          <w:sz w:val="24"/>
          <w:szCs w:val="24"/>
          <w:lang w:eastAsia="en-GB"/>
        </w:rPr>
      </w:pPr>
      <w:r w:rsidRPr="00842A15">
        <w:rPr>
          <w:sz w:val="24"/>
          <w:szCs w:val="24"/>
          <w:lang w:eastAsia="en-GB"/>
        </w:rPr>
        <w:t xml:space="preserve">During the quarter, the Authority received complaints relating to data breaches (19 complaints), confidentiality and privacy breaches (10 complaints), and </w:t>
      </w:r>
      <w:r w:rsidR="003A63D0" w:rsidRPr="00842A15">
        <w:rPr>
          <w:sz w:val="24"/>
          <w:szCs w:val="24"/>
          <w:lang w:eastAsia="en-GB"/>
        </w:rPr>
        <w:t>unauthorized</w:t>
      </w:r>
      <w:r w:rsidRPr="00842A15">
        <w:rPr>
          <w:sz w:val="24"/>
          <w:szCs w:val="24"/>
          <w:lang w:eastAsia="en-GB"/>
        </w:rPr>
        <w:t xml:space="preserve"> sharing of personal information (10 complaints), </w:t>
      </w:r>
      <w:r w:rsidR="003A63D0" w:rsidRPr="00842A15">
        <w:rPr>
          <w:sz w:val="24"/>
          <w:szCs w:val="24"/>
          <w:lang w:eastAsia="en-GB"/>
        </w:rPr>
        <w:t>signaling</w:t>
      </w:r>
      <w:r w:rsidRPr="00842A15">
        <w:rPr>
          <w:sz w:val="24"/>
          <w:szCs w:val="24"/>
          <w:lang w:eastAsia="en-GB"/>
        </w:rPr>
        <w:t xml:space="preserve"> growing consumer concern over the protection of personal information and the security of digital communications.</w:t>
      </w:r>
    </w:p>
    <w:p w14:paraId="45F0D5FF" w14:textId="29A5EEA1" w:rsidR="00105878" w:rsidRPr="00842A15" w:rsidRDefault="00105878" w:rsidP="3FD78F4F">
      <w:pPr>
        <w:spacing w:before="100" w:beforeAutospacing="1" w:after="100" w:afterAutospacing="1" w:line="276" w:lineRule="auto"/>
        <w:jc w:val="both"/>
        <w:rPr>
          <w:sz w:val="24"/>
          <w:szCs w:val="24"/>
          <w:lang w:eastAsia="en-GB"/>
        </w:rPr>
      </w:pPr>
      <w:r w:rsidRPr="3FD78F4F">
        <w:rPr>
          <w:sz w:val="24"/>
          <w:szCs w:val="24"/>
          <w:lang w:eastAsia="en-GB"/>
        </w:rPr>
        <w:t xml:space="preserve">These complaints highlight the increasing importance of responsible data handling, secure communications </w:t>
      </w:r>
      <w:r w:rsidR="395B5401" w:rsidRPr="3FD78F4F">
        <w:rPr>
          <w:sz w:val="24"/>
          <w:szCs w:val="24"/>
          <w:lang w:eastAsia="en-GB"/>
        </w:rPr>
        <w:t>infrastructure,</w:t>
      </w:r>
      <w:r w:rsidRPr="3FD78F4F">
        <w:rPr>
          <w:sz w:val="24"/>
          <w:szCs w:val="24"/>
          <w:lang w:eastAsia="en-GB"/>
        </w:rPr>
        <w:t xml:space="preserve"> and effective </w:t>
      </w:r>
      <w:r w:rsidR="003A63D0" w:rsidRPr="3FD78F4F">
        <w:rPr>
          <w:sz w:val="24"/>
          <w:szCs w:val="24"/>
          <w:lang w:eastAsia="en-GB"/>
        </w:rPr>
        <w:t>organizational</w:t>
      </w:r>
      <w:r w:rsidRPr="3FD78F4F">
        <w:rPr>
          <w:sz w:val="24"/>
          <w:szCs w:val="24"/>
          <w:lang w:eastAsia="en-GB"/>
        </w:rPr>
        <w:t xml:space="preserve"> controls to prevent </w:t>
      </w:r>
      <w:r w:rsidR="003A63D0" w:rsidRPr="3FD78F4F">
        <w:rPr>
          <w:sz w:val="24"/>
          <w:szCs w:val="24"/>
          <w:lang w:eastAsia="en-GB"/>
        </w:rPr>
        <w:t>unauthorized</w:t>
      </w:r>
      <w:r w:rsidRPr="3FD78F4F">
        <w:rPr>
          <w:sz w:val="24"/>
          <w:szCs w:val="24"/>
          <w:lang w:eastAsia="en-GB"/>
        </w:rPr>
        <w:t xml:space="preserve"> disclosure or misuse of consumer information. </w:t>
      </w:r>
    </w:p>
    <w:p w14:paraId="434E736D" w14:textId="77777777" w:rsidR="00105878" w:rsidRPr="00842A15" w:rsidRDefault="00105878" w:rsidP="00842A15">
      <w:pPr>
        <w:spacing w:before="100" w:beforeAutospacing="1" w:after="100" w:afterAutospacing="1" w:line="276" w:lineRule="auto"/>
        <w:jc w:val="both"/>
        <w:rPr>
          <w:sz w:val="24"/>
          <w:szCs w:val="24"/>
          <w:lang w:eastAsia="en-GB"/>
        </w:rPr>
      </w:pPr>
      <w:r w:rsidRPr="00842A15">
        <w:rPr>
          <w:sz w:val="24"/>
          <w:szCs w:val="24"/>
          <w:lang w:eastAsia="en-GB"/>
        </w:rPr>
        <w:t xml:space="preserve">Noting the foregoing and </w:t>
      </w:r>
      <w:proofErr w:type="gramStart"/>
      <w:r w:rsidRPr="00842A15">
        <w:rPr>
          <w:sz w:val="24"/>
          <w:szCs w:val="24"/>
          <w:lang w:eastAsia="en-GB"/>
        </w:rPr>
        <w:t>in order to</w:t>
      </w:r>
      <w:proofErr w:type="gramEnd"/>
      <w:r w:rsidRPr="00842A15">
        <w:rPr>
          <w:sz w:val="24"/>
          <w:szCs w:val="24"/>
          <w:lang w:eastAsia="en-GB"/>
        </w:rPr>
        <w:t xml:space="preserve"> strengthen consumer confidence in digital communications services, the Authority continues to:</w:t>
      </w:r>
    </w:p>
    <w:p w14:paraId="33AEE3A1" w14:textId="77777777" w:rsidR="00105878" w:rsidRPr="00842A15" w:rsidRDefault="00105878" w:rsidP="00842A15">
      <w:pPr>
        <w:widowControl/>
        <w:numPr>
          <w:ilvl w:val="0"/>
          <w:numId w:val="8"/>
        </w:numPr>
        <w:autoSpaceDE/>
        <w:autoSpaceDN/>
        <w:spacing w:before="100" w:beforeAutospacing="1" w:after="100" w:afterAutospacing="1" w:line="276" w:lineRule="auto"/>
        <w:jc w:val="both"/>
        <w:rPr>
          <w:sz w:val="24"/>
          <w:szCs w:val="24"/>
          <w:lang w:eastAsia="en-GB"/>
        </w:rPr>
      </w:pPr>
      <w:r w:rsidRPr="00842A15">
        <w:rPr>
          <w:sz w:val="24"/>
          <w:szCs w:val="24"/>
          <w:lang w:eastAsia="en-GB"/>
        </w:rPr>
        <w:t>Monitor complaints relating to data privacy and the security of communications services to identify emerging risks and compliance concerns.</w:t>
      </w:r>
    </w:p>
    <w:p w14:paraId="575F78D2" w14:textId="77777777" w:rsidR="00105878" w:rsidRPr="00842A15" w:rsidRDefault="00105878" w:rsidP="00842A15">
      <w:pPr>
        <w:widowControl/>
        <w:numPr>
          <w:ilvl w:val="0"/>
          <w:numId w:val="8"/>
        </w:numPr>
        <w:autoSpaceDE/>
        <w:autoSpaceDN/>
        <w:spacing w:before="100" w:beforeAutospacing="1" w:after="100" w:afterAutospacing="1" w:line="276" w:lineRule="auto"/>
        <w:jc w:val="both"/>
        <w:rPr>
          <w:sz w:val="24"/>
          <w:szCs w:val="24"/>
          <w:lang w:eastAsia="en-GB"/>
        </w:rPr>
      </w:pPr>
      <w:r w:rsidRPr="00842A15">
        <w:rPr>
          <w:sz w:val="24"/>
          <w:szCs w:val="24"/>
          <w:lang w:eastAsia="en-GB"/>
        </w:rPr>
        <w:t>Engage licensees to strengthen governance measures for protecting subscriber information and securing communications infrastructure.</w:t>
      </w:r>
    </w:p>
    <w:p w14:paraId="04AAE842" w14:textId="77777777" w:rsidR="00105878" w:rsidRPr="00842A15" w:rsidRDefault="00105878" w:rsidP="00842A15">
      <w:pPr>
        <w:widowControl/>
        <w:numPr>
          <w:ilvl w:val="0"/>
          <w:numId w:val="8"/>
        </w:numPr>
        <w:autoSpaceDE/>
        <w:autoSpaceDN/>
        <w:spacing w:before="100" w:beforeAutospacing="1" w:after="100" w:afterAutospacing="1" w:line="276" w:lineRule="auto"/>
        <w:jc w:val="both"/>
        <w:rPr>
          <w:sz w:val="24"/>
          <w:szCs w:val="24"/>
          <w:lang w:eastAsia="en-GB"/>
        </w:rPr>
      </w:pPr>
      <w:r w:rsidRPr="00842A15">
        <w:rPr>
          <w:sz w:val="24"/>
          <w:szCs w:val="24"/>
          <w:lang w:eastAsia="en-GB"/>
        </w:rPr>
        <w:t>Promote compliance with regulatory obligations relating to the protection of consumer information within the communications sector.</w:t>
      </w:r>
    </w:p>
    <w:p w14:paraId="2B9CE8E5" w14:textId="77777777" w:rsidR="00105878" w:rsidRPr="00842A15" w:rsidRDefault="00105878" w:rsidP="00842A15">
      <w:pPr>
        <w:widowControl/>
        <w:numPr>
          <w:ilvl w:val="0"/>
          <w:numId w:val="8"/>
        </w:numPr>
        <w:autoSpaceDE/>
        <w:autoSpaceDN/>
        <w:spacing w:before="100" w:beforeAutospacing="1" w:after="100" w:afterAutospacing="1" w:line="276" w:lineRule="auto"/>
        <w:jc w:val="both"/>
        <w:rPr>
          <w:sz w:val="24"/>
          <w:szCs w:val="24"/>
          <w:lang w:eastAsia="en-GB"/>
        </w:rPr>
      </w:pPr>
      <w:r w:rsidRPr="00842A15">
        <w:rPr>
          <w:sz w:val="24"/>
          <w:szCs w:val="24"/>
          <w:lang w:eastAsia="en-GB"/>
        </w:rPr>
        <w:t>Collaborate with relevant government agencies and sector stakeholders to enhance the security and resilience of Kenya's digital ecosystem.</w:t>
      </w:r>
    </w:p>
    <w:p w14:paraId="3D9F6685" w14:textId="7BE44E2F" w:rsidR="00105878" w:rsidRPr="00842A15" w:rsidRDefault="00105878" w:rsidP="00842A15">
      <w:pPr>
        <w:widowControl/>
        <w:numPr>
          <w:ilvl w:val="0"/>
          <w:numId w:val="8"/>
        </w:numPr>
        <w:autoSpaceDE/>
        <w:autoSpaceDN/>
        <w:spacing w:before="100" w:beforeAutospacing="1" w:after="100" w:afterAutospacing="1" w:line="276" w:lineRule="auto"/>
        <w:jc w:val="both"/>
        <w:rPr>
          <w:sz w:val="24"/>
          <w:szCs w:val="24"/>
          <w:lang w:eastAsia="en-GB"/>
        </w:rPr>
      </w:pPr>
      <w:r w:rsidRPr="00842A15">
        <w:rPr>
          <w:sz w:val="24"/>
          <w:szCs w:val="24"/>
          <w:lang w:eastAsia="en-GB"/>
        </w:rPr>
        <w:t xml:space="preserve">Promote consumer awareness on responsible management of personal information and safe digital practices to </w:t>
      </w:r>
      <w:r w:rsidR="003A63D0" w:rsidRPr="00842A15">
        <w:rPr>
          <w:sz w:val="24"/>
          <w:szCs w:val="24"/>
          <w:lang w:eastAsia="en-GB"/>
        </w:rPr>
        <w:t>minimize</w:t>
      </w:r>
      <w:r w:rsidRPr="00842A15">
        <w:rPr>
          <w:sz w:val="24"/>
          <w:szCs w:val="24"/>
          <w:lang w:eastAsia="en-GB"/>
        </w:rPr>
        <w:t xml:space="preserve"> exposure to privacy-related risks.</w:t>
      </w:r>
    </w:p>
    <w:p w14:paraId="272CC12D" w14:textId="6E3810CD" w:rsidR="00105878" w:rsidRPr="00842A15" w:rsidRDefault="003A63D0" w:rsidP="00842A15">
      <w:pPr>
        <w:widowControl/>
        <w:numPr>
          <w:ilvl w:val="0"/>
          <w:numId w:val="8"/>
        </w:numPr>
        <w:autoSpaceDE/>
        <w:autoSpaceDN/>
        <w:spacing w:before="100" w:beforeAutospacing="1" w:after="100" w:afterAutospacing="1" w:line="276" w:lineRule="auto"/>
        <w:jc w:val="both"/>
        <w:rPr>
          <w:sz w:val="24"/>
          <w:szCs w:val="24"/>
          <w:lang w:eastAsia="en-GB"/>
        </w:rPr>
      </w:pPr>
      <w:r w:rsidRPr="00842A15">
        <w:rPr>
          <w:sz w:val="24"/>
          <w:szCs w:val="24"/>
          <w:lang w:eastAsia="en-GB"/>
        </w:rPr>
        <w:t>Utilize</w:t>
      </w:r>
      <w:r w:rsidR="00105878" w:rsidRPr="00842A15">
        <w:rPr>
          <w:sz w:val="24"/>
          <w:szCs w:val="24"/>
          <w:lang w:eastAsia="en-GB"/>
        </w:rPr>
        <w:t xml:space="preserve"> complaint data and market intelligence to inform regulatory reviews and strengthen consumer protection measures as technologies and digital services evolve.</w:t>
      </w:r>
    </w:p>
    <w:p w14:paraId="7AFBB269" w14:textId="77777777" w:rsidR="00105878" w:rsidRPr="00842A15" w:rsidRDefault="00105878" w:rsidP="00842A15">
      <w:pPr>
        <w:spacing w:before="100" w:beforeAutospacing="1" w:after="100" w:afterAutospacing="1" w:line="276" w:lineRule="auto"/>
        <w:jc w:val="both"/>
        <w:rPr>
          <w:sz w:val="24"/>
          <w:szCs w:val="24"/>
          <w:lang w:eastAsia="en-GB"/>
        </w:rPr>
      </w:pPr>
      <w:r w:rsidRPr="00842A15">
        <w:rPr>
          <w:sz w:val="24"/>
          <w:szCs w:val="24"/>
          <w:lang w:eastAsia="en-GB"/>
        </w:rPr>
        <w:t xml:space="preserve">The Authority remains committed to fostering a secure digital environment in which consumers can </w:t>
      </w:r>
      <w:r w:rsidRPr="00842A15">
        <w:rPr>
          <w:sz w:val="24"/>
          <w:szCs w:val="24"/>
          <w:lang w:eastAsia="en-GB"/>
        </w:rPr>
        <w:lastRenderedPageBreak/>
        <w:t>access communications services with confidence that their information is handled responsibly and protected from misuse.</w:t>
      </w:r>
    </w:p>
    <w:p w14:paraId="24F868E5" w14:textId="77777777" w:rsidR="00105878" w:rsidRPr="00842A15" w:rsidRDefault="00105878" w:rsidP="00842A15">
      <w:pPr>
        <w:pStyle w:val="ListParagraph"/>
        <w:numPr>
          <w:ilvl w:val="1"/>
          <w:numId w:val="4"/>
        </w:numPr>
        <w:spacing w:before="100" w:beforeAutospacing="1" w:after="100" w:afterAutospacing="1" w:line="276" w:lineRule="auto"/>
        <w:ind w:right="119"/>
        <w:jc w:val="both"/>
        <w:rPr>
          <w:b/>
          <w:bCs/>
          <w:i/>
          <w:iCs/>
          <w:sz w:val="24"/>
          <w:szCs w:val="24"/>
        </w:rPr>
      </w:pPr>
      <w:r w:rsidRPr="00842A15">
        <w:rPr>
          <w:b/>
          <w:bCs/>
          <w:i/>
          <w:iCs/>
          <w:sz w:val="24"/>
          <w:szCs w:val="24"/>
        </w:rPr>
        <w:t>Improving Service Provider Accountability and Consumer Experience</w:t>
      </w:r>
    </w:p>
    <w:p w14:paraId="68DCF1AE" w14:textId="29A38814" w:rsidR="00105878" w:rsidRPr="00842A15" w:rsidRDefault="00105878" w:rsidP="3FD78F4F">
      <w:pPr>
        <w:spacing w:before="100" w:beforeAutospacing="1" w:after="100" w:afterAutospacing="1" w:line="276" w:lineRule="auto"/>
        <w:jc w:val="both"/>
        <w:rPr>
          <w:sz w:val="24"/>
          <w:szCs w:val="24"/>
          <w:lang w:eastAsia="en-GB"/>
        </w:rPr>
      </w:pPr>
      <w:r w:rsidRPr="3FD78F4F">
        <w:rPr>
          <w:sz w:val="24"/>
          <w:szCs w:val="24"/>
          <w:lang w:eastAsia="en-GB"/>
        </w:rPr>
        <w:t>Effective consumer protection extends beyond service availability</w:t>
      </w:r>
      <w:r w:rsidR="006A44DD">
        <w:rPr>
          <w:sz w:val="24"/>
          <w:szCs w:val="24"/>
          <w:lang w:eastAsia="en-GB"/>
        </w:rPr>
        <w:t>,</w:t>
      </w:r>
      <w:r w:rsidRPr="3FD78F4F">
        <w:rPr>
          <w:sz w:val="24"/>
          <w:szCs w:val="24"/>
          <w:lang w:eastAsia="en-GB"/>
        </w:rPr>
        <w:t xml:space="preserve"> to </w:t>
      </w:r>
      <w:r w:rsidR="6D4B8378" w:rsidRPr="3FD78F4F">
        <w:rPr>
          <w:sz w:val="24"/>
          <w:szCs w:val="24"/>
          <w:lang w:eastAsia="en-GB"/>
        </w:rPr>
        <w:t>ensure</w:t>
      </w:r>
      <w:r w:rsidRPr="3FD78F4F">
        <w:rPr>
          <w:sz w:val="24"/>
          <w:szCs w:val="24"/>
          <w:lang w:eastAsia="en-GB"/>
        </w:rPr>
        <w:t xml:space="preserve"> that consumers receive timely assistance, transparent billing </w:t>
      </w:r>
      <w:r w:rsidRPr="0081328D">
        <w:rPr>
          <w:sz w:val="24"/>
          <w:szCs w:val="24"/>
          <w:lang w:eastAsia="en-GB"/>
        </w:rPr>
        <w:t>and fair</w:t>
      </w:r>
      <w:r w:rsidR="00913A3F" w:rsidRPr="0081328D">
        <w:rPr>
          <w:sz w:val="24"/>
          <w:szCs w:val="24"/>
          <w:lang w:eastAsia="en-GB"/>
        </w:rPr>
        <w:t xml:space="preserve"> </w:t>
      </w:r>
      <w:r w:rsidRPr="0081328D">
        <w:rPr>
          <w:sz w:val="24"/>
          <w:szCs w:val="24"/>
          <w:lang w:eastAsia="en-GB"/>
        </w:rPr>
        <w:t>resolution of complaints.</w:t>
      </w:r>
      <w:r w:rsidRPr="3FD78F4F">
        <w:rPr>
          <w:sz w:val="24"/>
          <w:szCs w:val="24"/>
          <w:lang w:eastAsia="en-GB"/>
        </w:rPr>
        <w:t xml:space="preserve"> </w:t>
      </w:r>
    </w:p>
    <w:p w14:paraId="7F308DE7" w14:textId="2DC04E8C" w:rsidR="00105878" w:rsidRPr="00842A15" w:rsidRDefault="00105878" w:rsidP="3FD78F4F">
      <w:pPr>
        <w:spacing w:before="100" w:beforeAutospacing="1" w:after="100" w:afterAutospacing="1" w:line="276" w:lineRule="auto"/>
        <w:jc w:val="both"/>
        <w:rPr>
          <w:sz w:val="24"/>
          <w:szCs w:val="24"/>
          <w:lang w:eastAsia="en-GB"/>
        </w:rPr>
      </w:pPr>
      <w:r w:rsidRPr="3FD78F4F">
        <w:rPr>
          <w:sz w:val="24"/>
          <w:szCs w:val="24"/>
          <w:lang w:eastAsia="en-GB"/>
        </w:rPr>
        <w:t xml:space="preserve">During the quarter under review, the Authority received complaints relating to customer care, billing and charging, service delays, termination of services </w:t>
      </w:r>
      <w:r w:rsidRPr="0081328D">
        <w:rPr>
          <w:sz w:val="24"/>
          <w:szCs w:val="24"/>
          <w:lang w:eastAsia="en-GB"/>
        </w:rPr>
        <w:t>and complaint resolution,</w:t>
      </w:r>
      <w:r w:rsidRPr="3FD78F4F">
        <w:rPr>
          <w:sz w:val="24"/>
          <w:szCs w:val="24"/>
          <w:lang w:eastAsia="en-GB"/>
        </w:rPr>
        <w:t xml:space="preserve"> indicating that consumer experience remains an important aspect of regulatory oversight. These complaint trends demonstrate that consumers increasingly expect responsive customer support, transparent service </w:t>
      </w:r>
      <w:r w:rsidR="49C6062D" w:rsidRPr="3FD78F4F">
        <w:rPr>
          <w:sz w:val="24"/>
          <w:szCs w:val="24"/>
          <w:lang w:eastAsia="en-GB"/>
        </w:rPr>
        <w:t>delivery,</w:t>
      </w:r>
      <w:r w:rsidRPr="3FD78F4F">
        <w:rPr>
          <w:sz w:val="24"/>
          <w:szCs w:val="24"/>
          <w:lang w:eastAsia="en-GB"/>
        </w:rPr>
        <w:t xml:space="preserve"> and timely restoration of services whenever disruptions occur.</w:t>
      </w:r>
    </w:p>
    <w:p w14:paraId="04C0D421" w14:textId="01A8289B" w:rsidR="00105878" w:rsidRPr="00842A15" w:rsidRDefault="00105878" w:rsidP="00842A15">
      <w:pPr>
        <w:spacing w:before="100" w:beforeAutospacing="1" w:after="100" w:afterAutospacing="1" w:line="276" w:lineRule="auto"/>
        <w:jc w:val="both"/>
        <w:rPr>
          <w:sz w:val="24"/>
          <w:szCs w:val="24"/>
          <w:lang w:eastAsia="en-GB"/>
        </w:rPr>
      </w:pPr>
      <w:r w:rsidRPr="00842A15">
        <w:rPr>
          <w:sz w:val="24"/>
          <w:szCs w:val="24"/>
          <w:lang w:eastAsia="en-GB"/>
        </w:rPr>
        <w:t xml:space="preserve">To promote higher standards of </w:t>
      </w:r>
      <w:r w:rsidR="00E70EA0">
        <w:rPr>
          <w:sz w:val="24"/>
          <w:szCs w:val="24"/>
          <w:lang w:eastAsia="en-GB"/>
        </w:rPr>
        <w:t>customer experience</w:t>
      </w:r>
      <w:r w:rsidRPr="00842A15">
        <w:rPr>
          <w:sz w:val="24"/>
          <w:szCs w:val="24"/>
          <w:lang w:eastAsia="en-GB"/>
        </w:rPr>
        <w:t xml:space="preserve"> across the communications sector, the Authority continues to:</w:t>
      </w:r>
    </w:p>
    <w:p w14:paraId="7496972E" w14:textId="77777777" w:rsidR="00105878" w:rsidRPr="00842A15" w:rsidRDefault="00105878" w:rsidP="00842A15">
      <w:pPr>
        <w:widowControl/>
        <w:numPr>
          <w:ilvl w:val="0"/>
          <w:numId w:val="9"/>
        </w:numPr>
        <w:autoSpaceDE/>
        <w:autoSpaceDN/>
        <w:spacing w:before="100" w:beforeAutospacing="1" w:after="100" w:afterAutospacing="1" w:line="276" w:lineRule="auto"/>
        <w:jc w:val="both"/>
        <w:rPr>
          <w:sz w:val="24"/>
          <w:szCs w:val="24"/>
          <w:lang w:eastAsia="en-GB"/>
        </w:rPr>
      </w:pPr>
      <w:r w:rsidRPr="00842A15">
        <w:rPr>
          <w:sz w:val="24"/>
          <w:szCs w:val="24"/>
          <w:lang w:eastAsia="en-GB"/>
        </w:rPr>
        <w:t>Monitor compliance with consumer protection obligations relating to complaint handling and customer service.</w:t>
      </w:r>
    </w:p>
    <w:p w14:paraId="5032AB75" w14:textId="77777777" w:rsidR="00105878" w:rsidRPr="00842A15" w:rsidRDefault="00105878" w:rsidP="00842A15">
      <w:pPr>
        <w:widowControl/>
        <w:numPr>
          <w:ilvl w:val="0"/>
          <w:numId w:val="9"/>
        </w:numPr>
        <w:autoSpaceDE/>
        <w:autoSpaceDN/>
        <w:spacing w:before="100" w:beforeAutospacing="1" w:after="100" w:afterAutospacing="1" w:line="276" w:lineRule="auto"/>
        <w:jc w:val="both"/>
        <w:rPr>
          <w:sz w:val="24"/>
          <w:szCs w:val="24"/>
          <w:lang w:eastAsia="en-GB"/>
        </w:rPr>
      </w:pPr>
      <w:r w:rsidRPr="00842A15">
        <w:rPr>
          <w:sz w:val="24"/>
          <w:szCs w:val="24"/>
          <w:lang w:eastAsia="en-GB"/>
        </w:rPr>
        <w:t>Engage service providers to strengthen customer care processes and improve responsiveness to consumer complaints.</w:t>
      </w:r>
    </w:p>
    <w:p w14:paraId="42E888FC" w14:textId="4F4558F0" w:rsidR="00105878" w:rsidRPr="00842A15" w:rsidRDefault="00105878" w:rsidP="3FD78F4F">
      <w:pPr>
        <w:widowControl/>
        <w:numPr>
          <w:ilvl w:val="0"/>
          <w:numId w:val="9"/>
        </w:numPr>
        <w:autoSpaceDE/>
        <w:autoSpaceDN/>
        <w:spacing w:before="100" w:beforeAutospacing="1" w:after="100" w:afterAutospacing="1" w:line="276" w:lineRule="auto"/>
        <w:jc w:val="both"/>
        <w:rPr>
          <w:sz w:val="24"/>
          <w:szCs w:val="24"/>
          <w:lang w:eastAsia="en-GB"/>
        </w:rPr>
      </w:pPr>
      <w:r w:rsidRPr="3FD78F4F">
        <w:rPr>
          <w:sz w:val="24"/>
          <w:szCs w:val="24"/>
          <w:lang w:eastAsia="en-GB"/>
        </w:rPr>
        <w:t xml:space="preserve">Promote greater transparency in billing practices, service </w:t>
      </w:r>
      <w:r w:rsidR="7306054E" w:rsidRPr="3FD78F4F">
        <w:rPr>
          <w:sz w:val="24"/>
          <w:szCs w:val="24"/>
          <w:lang w:eastAsia="en-GB"/>
        </w:rPr>
        <w:t>terms,</w:t>
      </w:r>
      <w:r w:rsidRPr="3FD78F4F">
        <w:rPr>
          <w:sz w:val="24"/>
          <w:szCs w:val="24"/>
          <w:lang w:eastAsia="en-GB"/>
        </w:rPr>
        <w:t xml:space="preserve"> and consumer information to enable informed consumer decisions.</w:t>
      </w:r>
    </w:p>
    <w:p w14:paraId="6DDC1172" w14:textId="77777777" w:rsidR="00105878" w:rsidRPr="00842A15" w:rsidRDefault="00105878" w:rsidP="00842A15">
      <w:pPr>
        <w:widowControl/>
        <w:numPr>
          <w:ilvl w:val="0"/>
          <w:numId w:val="9"/>
        </w:numPr>
        <w:autoSpaceDE/>
        <w:autoSpaceDN/>
        <w:spacing w:before="100" w:beforeAutospacing="1" w:after="100" w:afterAutospacing="1" w:line="276" w:lineRule="auto"/>
        <w:jc w:val="both"/>
        <w:rPr>
          <w:sz w:val="24"/>
          <w:szCs w:val="24"/>
          <w:lang w:eastAsia="en-GB"/>
        </w:rPr>
      </w:pPr>
      <w:r w:rsidRPr="00842A15">
        <w:rPr>
          <w:sz w:val="24"/>
          <w:szCs w:val="24"/>
          <w:lang w:eastAsia="en-GB"/>
        </w:rPr>
        <w:t>Monitor service restoration timelines and complaint resolution performance to ensure consumers receive timely redress.</w:t>
      </w:r>
    </w:p>
    <w:p w14:paraId="2E9643D1" w14:textId="77777777" w:rsidR="00105878" w:rsidRPr="00842A15" w:rsidRDefault="00105878" w:rsidP="00842A15">
      <w:pPr>
        <w:widowControl/>
        <w:numPr>
          <w:ilvl w:val="0"/>
          <w:numId w:val="9"/>
        </w:numPr>
        <w:autoSpaceDE/>
        <w:autoSpaceDN/>
        <w:spacing w:before="100" w:beforeAutospacing="1" w:after="100" w:afterAutospacing="1" w:line="276" w:lineRule="auto"/>
        <w:jc w:val="both"/>
        <w:rPr>
          <w:sz w:val="24"/>
          <w:szCs w:val="24"/>
          <w:lang w:eastAsia="en-GB"/>
        </w:rPr>
      </w:pPr>
      <w:r w:rsidRPr="00842A15">
        <w:rPr>
          <w:sz w:val="24"/>
          <w:szCs w:val="24"/>
          <w:lang w:eastAsia="en-GB"/>
        </w:rPr>
        <w:t>Encourage operators to strengthen internal complaint management systems and continuously improve customer experience.</w:t>
      </w:r>
    </w:p>
    <w:p w14:paraId="55B47713" w14:textId="5130BFF8" w:rsidR="00105878" w:rsidRPr="00842A15" w:rsidRDefault="003A63D0" w:rsidP="00842A15">
      <w:pPr>
        <w:widowControl/>
        <w:numPr>
          <w:ilvl w:val="0"/>
          <w:numId w:val="9"/>
        </w:numPr>
        <w:autoSpaceDE/>
        <w:autoSpaceDN/>
        <w:spacing w:before="100" w:beforeAutospacing="1" w:after="100" w:afterAutospacing="1" w:line="276" w:lineRule="auto"/>
        <w:jc w:val="both"/>
        <w:rPr>
          <w:sz w:val="24"/>
          <w:szCs w:val="24"/>
          <w:lang w:eastAsia="en-GB"/>
        </w:rPr>
      </w:pPr>
      <w:r w:rsidRPr="00842A15">
        <w:rPr>
          <w:sz w:val="24"/>
          <w:szCs w:val="24"/>
          <w:lang w:eastAsia="en-GB"/>
        </w:rPr>
        <w:t>Utilize</w:t>
      </w:r>
      <w:r w:rsidR="00105878" w:rsidRPr="00842A15">
        <w:rPr>
          <w:sz w:val="24"/>
          <w:szCs w:val="24"/>
          <w:lang w:eastAsia="en-GB"/>
        </w:rPr>
        <w:t xml:space="preserve"> complaint trends to inform compliance monitoring, regulatory engagements and continuous improvement initiatives across the sector.</w:t>
      </w:r>
    </w:p>
    <w:p w14:paraId="0748FF0E" w14:textId="2675E643" w:rsidR="00105878" w:rsidRPr="00842A15" w:rsidRDefault="00105878" w:rsidP="00842A15">
      <w:pPr>
        <w:spacing w:before="100" w:beforeAutospacing="1" w:after="100" w:afterAutospacing="1" w:line="276" w:lineRule="auto"/>
        <w:jc w:val="both"/>
        <w:rPr>
          <w:sz w:val="24"/>
          <w:szCs w:val="24"/>
          <w:lang w:eastAsia="en-GB"/>
        </w:rPr>
      </w:pPr>
      <w:r w:rsidRPr="00842A15">
        <w:rPr>
          <w:sz w:val="24"/>
          <w:szCs w:val="24"/>
          <w:lang w:eastAsia="en-GB"/>
        </w:rPr>
        <w:t>Through these interventions, the Authority continues to promote a consumer-centric communications sector in which licensed operators are accountable for delivering quality services and resolving consumer concerns promptly, fairly and transparently.</w:t>
      </w:r>
    </w:p>
    <w:p w14:paraId="166D65D3" w14:textId="77777777" w:rsidR="00105878" w:rsidRPr="00842A15" w:rsidRDefault="00105878" w:rsidP="00842A15">
      <w:pPr>
        <w:pStyle w:val="ListParagraph"/>
        <w:numPr>
          <w:ilvl w:val="1"/>
          <w:numId w:val="4"/>
        </w:numPr>
        <w:spacing w:before="100" w:beforeAutospacing="1" w:after="100" w:afterAutospacing="1" w:line="276" w:lineRule="auto"/>
        <w:ind w:right="119"/>
        <w:jc w:val="both"/>
        <w:rPr>
          <w:b/>
          <w:bCs/>
          <w:i/>
          <w:iCs/>
          <w:sz w:val="24"/>
          <w:szCs w:val="24"/>
        </w:rPr>
      </w:pPr>
      <w:r w:rsidRPr="00842A15">
        <w:rPr>
          <w:b/>
          <w:bCs/>
          <w:i/>
          <w:iCs/>
          <w:sz w:val="24"/>
          <w:szCs w:val="24"/>
        </w:rPr>
        <w:t>Ensuring Reliable and Accessible Broadcasting Services</w:t>
      </w:r>
    </w:p>
    <w:p w14:paraId="7DE809CB" w14:textId="2B2A84C6" w:rsidR="00105878" w:rsidRPr="00842A15" w:rsidRDefault="004D6577" w:rsidP="00842A15">
      <w:pPr>
        <w:spacing w:before="100" w:beforeAutospacing="1" w:after="100" w:afterAutospacing="1" w:line="276" w:lineRule="auto"/>
        <w:jc w:val="both"/>
        <w:rPr>
          <w:sz w:val="24"/>
          <w:szCs w:val="24"/>
          <w:lang w:eastAsia="en-GB"/>
        </w:rPr>
      </w:pPr>
      <w:r>
        <w:rPr>
          <w:sz w:val="24"/>
          <w:szCs w:val="24"/>
          <w:lang w:eastAsia="en-GB"/>
        </w:rPr>
        <w:t>This aspect</w:t>
      </w:r>
      <w:r w:rsidR="00105878" w:rsidRPr="00842A15">
        <w:rPr>
          <w:sz w:val="24"/>
          <w:szCs w:val="24"/>
          <w:lang w:eastAsia="en-GB"/>
        </w:rPr>
        <w:t xml:space="preserve"> remains a key regulatory priority as broadcasting continues to play a vital role in informing, educating and entertaining the public.</w:t>
      </w:r>
    </w:p>
    <w:p w14:paraId="49CCAF26" w14:textId="2335040D" w:rsidR="00105878" w:rsidRPr="00842A15" w:rsidRDefault="00105878" w:rsidP="3FD78F4F">
      <w:pPr>
        <w:spacing w:before="100" w:beforeAutospacing="1" w:after="100" w:afterAutospacing="1" w:line="276" w:lineRule="auto"/>
        <w:jc w:val="both"/>
        <w:rPr>
          <w:b/>
          <w:bCs/>
          <w:sz w:val="24"/>
          <w:szCs w:val="24"/>
          <w:lang w:eastAsia="en-GB"/>
        </w:rPr>
      </w:pPr>
      <w:r w:rsidRPr="3FD78F4F">
        <w:rPr>
          <w:sz w:val="24"/>
          <w:szCs w:val="24"/>
          <w:lang w:eastAsia="en-GB"/>
        </w:rPr>
        <w:t>During the quarter under review, the Authority received 42 broadcasting-related complaints, with consumers raising concerns relating to content and programming standards, frequency interference, quality of service, service interruptions and billing, reflecting the need for continued regulatory oversight of broadcasting service delivery. The complaint trends indicate that consumers expect consistent access to high-quality broadcasting services</w:t>
      </w:r>
      <w:r w:rsidR="004D6577">
        <w:rPr>
          <w:sz w:val="24"/>
          <w:szCs w:val="24"/>
          <w:lang w:eastAsia="en-GB"/>
        </w:rPr>
        <w:t>,</w:t>
      </w:r>
      <w:r w:rsidRPr="3FD78F4F">
        <w:rPr>
          <w:sz w:val="24"/>
          <w:szCs w:val="24"/>
          <w:lang w:eastAsia="en-GB"/>
        </w:rPr>
        <w:t xml:space="preserve"> supported by reliable transmission </w:t>
      </w:r>
      <w:r w:rsidRPr="3FD78F4F">
        <w:rPr>
          <w:sz w:val="24"/>
          <w:szCs w:val="24"/>
          <w:lang w:eastAsia="en-GB"/>
        </w:rPr>
        <w:lastRenderedPageBreak/>
        <w:t xml:space="preserve">infrastructure, efficient spectrum </w:t>
      </w:r>
      <w:r w:rsidR="0D87EECE" w:rsidRPr="3FD78F4F">
        <w:rPr>
          <w:sz w:val="24"/>
          <w:szCs w:val="24"/>
          <w:lang w:eastAsia="en-GB"/>
        </w:rPr>
        <w:t>management,</w:t>
      </w:r>
      <w:r w:rsidRPr="3FD78F4F">
        <w:rPr>
          <w:sz w:val="24"/>
          <w:szCs w:val="24"/>
          <w:lang w:eastAsia="en-GB"/>
        </w:rPr>
        <w:t xml:space="preserve"> and adherence to established content standards. </w:t>
      </w:r>
    </w:p>
    <w:p w14:paraId="4C682F21" w14:textId="77777777" w:rsidR="00105878" w:rsidRPr="00842A15" w:rsidRDefault="00105878" w:rsidP="00842A15">
      <w:pPr>
        <w:spacing w:before="100" w:beforeAutospacing="1" w:after="100" w:afterAutospacing="1" w:line="276" w:lineRule="auto"/>
        <w:jc w:val="both"/>
        <w:rPr>
          <w:sz w:val="24"/>
          <w:szCs w:val="24"/>
          <w:lang w:eastAsia="en-GB"/>
        </w:rPr>
      </w:pPr>
      <w:r w:rsidRPr="00842A15">
        <w:rPr>
          <w:sz w:val="24"/>
          <w:szCs w:val="24"/>
          <w:lang w:eastAsia="en-GB"/>
        </w:rPr>
        <w:t>To ensure reliable, accessible and high-quality broadcasting services, the Authority continues to:</w:t>
      </w:r>
    </w:p>
    <w:p w14:paraId="53E4D529" w14:textId="26A66A08" w:rsidR="00105878" w:rsidRPr="00842A15" w:rsidRDefault="00105878" w:rsidP="00842A15">
      <w:pPr>
        <w:widowControl/>
        <w:numPr>
          <w:ilvl w:val="0"/>
          <w:numId w:val="10"/>
        </w:numPr>
        <w:autoSpaceDE/>
        <w:autoSpaceDN/>
        <w:spacing w:before="100" w:beforeAutospacing="1" w:after="100" w:afterAutospacing="1" w:line="276" w:lineRule="auto"/>
        <w:jc w:val="both"/>
        <w:rPr>
          <w:sz w:val="24"/>
          <w:szCs w:val="24"/>
          <w:lang w:eastAsia="en-GB"/>
        </w:rPr>
      </w:pPr>
      <w:r w:rsidRPr="00842A15">
        <w:rPr>
          <w:sz w:val="24"/>
          <w:szCs w:val="24"/>
          <w:lang w:eastAsia="en-GB"/>
        </w:rPr>
        <w:t xml:space="preserve">Monitor compliance with broadcasting </w:t>
      </w:r>
      <w:r w:rsidR="003A63D0" w:rsidRPr="00842A15">
        <w:rPr>
          <w:sz w:val="24"/>
          <w:szCs w:val="24"/>
          <w:lang w:eastAsia="en-GB"/>
        </w:rPr>
        <w:t>license</w:t>
      </w:r>
      <w:r w:rsidRPr="00842A15">
        <w:rPr>
          <w:sz w:val="24"/>
          <w:szCs w:val="24"/>
          <w:lang w:eastAsia="en-GB"/>
        </w:rPr>
        <w:t xml:space="preserve"> conditions and applicable content and programming standards.</w:t>
      </w:r>
    </w:p>
    <w:p w14:paraId="0CD26D60" w14:textId="77777777" w:rsidR="00105878" w:rsidRPr="00842A15" w:rsidRDefault="00105878" w:rsidP="00842A15">
      <w:pPr>
        <w:widowControl/>
        <w:numPr>
          <w:ilvl w:val="0"/>
          <w:numId w:val="10"/>
        </w:numPr>
        <w:autoSpaceDE/>
        <w:autoSpaceDN/>
        <w:spacing w:before="100" w:beforeAutospacing="1" w:after="100" w:afterAutospacing="1" w:line="276" w:lineRule="auto"/>
        <w:jc w:val="both"/>
        <w:rPr>
          <w:sz w:val="24"/>
          <w:szCs w:val="24"/>
          <w:lang w:eastAsia="en-GB"/>
        </w:rPr>
      </w:pPr>
      <w:r w:rsidRPr="00842A15">
        <w:rPr>
          <w:sz w:val="24"/>
          <w:szCs w:val="24"/>
          <w:lang w:eastAsia="en-GB"/>
        </w:rPr>
        <w:t>Strengthen oversight of broadcasting Quality of Service and signal availability to promote uninterrupted access to broadcasting services.</w:t>
      </w:r>
    </w:p>
    <w:p w14:paraId="7FBAA96E" w14:textId="03A1262C" w:rsidR="00105878" w:rsidRPr="00842A15" w:rsidRDefault="00105878" w:rsidP="00842A15">
      <w:pPr>
        <w:widowControl/>
        <w:numPr>
          <w:ilvl w:val="0"/>
          <w:numId w:val="10"/>
        </w:numPr>
        <w:autoSpaceDE/>
        <w:autoSpaceDN/>
        <w:spacing w:before="100" w:beforeAutospacing="1" w:after="100" w:afterAutospacing="1" w:line="276" w:lineRule="auto"/>
        <w:jc w:val="both"/>
        <w:rPr>
          <w:sz w:val="24"/>
          <w:szCs w:val="24"/>
          <w:lang w:eastAsia="en-GB"/>
        </w:rPr>
      </w:pPr>
      <w:r w:rsidRPr="00842A15">
        <w:rPr>
          <w:sz w:val="24"/>
          <w:szCs w:val="24"/>
          <w:lang w:eastAsia="en-GB"/>
        </w:rPr>
        <w:t xml:space="preserve">Undertake spectrum monitoring and interference management to </w:t>
      </w:r>
      <w:r w:rsidR="003A63D0" w:rsidRPr="00842A15">
        <w:rPr>
          <w:sz w:val="24"/>
          <w:szCs w:val="24"/>
          <w:lang w:eastAsia="en-GB"/>
        </w:rPr>
        <w:t>optimize</w:t>
      </w:r>
      <w:r w:rsidRPr="00842A15">
        <w:rPr>
          <w:sz w:val="24"/>
          <w:szCs w:val="24"/>
          <w:lang w:eastAsia="en-GB"/>
        </w:rPr>
        <w:t xml:space="preserve"> spectrum </w:t>
      </w:r>
      <w:r w:rsidR="003A63D0" w:rsidRPr="00842A15">
        <w:rPr>
          <w:sz w:val="24"/>
          <w:szCs w:val="24"/>
          <w:lang w:eastAsia="en-GB"/>
        </w:rPr>
        <w:t>utilization</w:t>
      </w:r>
      <w:r w:rsidRPr="00842A15">
        <w:rPr>
          <w:sz w:val="24"/>
          <w:szCs w:val="24"/>
          <w:lang w:eastAsia="en-GB"/>
        </w:rPr>
        <w:t xml:space="preserve"> and </w:t>
      </w:r>
      <w:r w:rsidR="003A63D0" w:rsidRPr="00842A15">
        <w:rPr>
          <w:sz w:val="24"/>
          <w:szCs w:val="24"/>
          <w:lang w:eastAsia="en-GB"/>
        </w:rPr>
        <w:t>minimize</w:t>
      </w:r>
      <w:r w:rsidRPr="00842A15">
        <w:rPr>
          <w:sz w:val="24"/>
          <w:szCs w:val="24"/>
          <w:lang w:eastAsia="en-GB"/>
        </w:rPr>
        <w:t xml:space="preserve"> service disruption.</w:t>
      </w:r>
    </w:p>
    <w:p w14:paraId="3702CB96" w14:textId="76AB63D1" w:rsidR="00105878" w:rsidRPr="00842A15" w:rsidRDefault="00105878" w:rsidP="3FD78F4F">
      <w:pPr>
        <w:widowControl/>
        <w:numPr>
          <w:ilvl w:val="0"/>
          <w:numId w:val="10"/>
        </w:numPr>
        <w:autoSpaceDE/>
        <w:autoSpaceDN/>
        <w:spacing w:before="100" w:beforeAutospacing="1" w:after="100" w:afterAutospacing="1" w:line="276" w:lineRule="auto"/>
        <w:jc w:val="both"/>
        <w:rPr>
          <w:sz w:val="24"/>
          <w:szCs w:val="24"/>
          <w:lang w:eastAsia="en-GB"/>
        </w:rPr>
      </w:pPr>
      <w:r w:rsidRPr="3FD78F4F">
        <w:rPr>
          <w:sz w:val="24"/>
          <w:szCs w:val="24"/>
          <w:lang w:eastAsia="en-GB"/>
        </w:rPr>
        <w:t xml:space="preserve">Engage broadcasters on improving transmission resilience, infrastructure </w:t>
      </w:r>
      <w:r w:rsidR="50759D0C" w:rsidRPr="3FD78F4F">
        <w:rPr>
          <w:sz w:val="24"/>
          <w:szCs w:val="24"/>
          <w:lang w:eastAsia="en-GB"/>
        </w:rPr>
        <w:t>reliability,</w:t>
      </w:r>
      <w:r w:rsidRPr="3FD78F4F">
        <w:rPr>
          <w:sz w:val="24"/>
          <w:szCs w:val="24"/>
          <w:lang w:eastAsia="en-GB"/>
        </w:rPr>
        <w:t xml:space="preserve"> and service continuity.</w:t>
      </w:r>
    </w:p>
    <w:p w14:paraId="0148FF41" w14:textId="77777777" w:rsidR="00105878" w:rsidRPr="00842A15" w:rsidRDefault="00105878" w:rsidP="00842A15">
      <w:pPr>
        <w:widowControl/>
        <w:numPr>
          <w:ilvl w:val="0"/>
          <w:numId w:val="10"/>
        </w:numPr>
        <w:autoSpaceDE/>
        <w:autoSpaceDN/>
        <w:spacing w:before="100" w:beforeAutospacing="1" w:after="100" w:afterAutospacing="1" w:line="276" w:lineRule="auto"/>
        <w:jc w:val="both"/>
        <w:rPr>
          <w:sz w:val="24"/>
          <w:szCs w:val="24"/>
          <w:lang w:eastAsia="en-GB"/>
        </w:rPr>
      </w:pPr>
      <w:r w:rsidRPr="00842A15">
        <w:rPr>
          <w:sz w:val="24"/>
          <w:szCs w:val="24"/>
          <w:lang w:eastAsia="en-GB"/>
        </w:rPr>
        <w:t>Investigate consumer complaints relating to broadcasting services and require corrective action where regulatory non-compliance is identified.</w:t>
      </w:r>
    </w:p>
    <w:p w14:paraId="68751835" w14:textId="0E7387A8" w:rsidR="00105878" w:rsidRPr="00842A15" w:rsidRDefault="00105878" w:rsidP="3FD78F4F">
      <w:pPr>
        <w:widowControl/>
        <w:numPr>
          <w:ilvl w:val="0"/>
          <w:numId w:val="10"/>
        </w:numPr>
        <w:autoSpaceDE/>
        <w:autoSpaceDN/>
        <w:spacing w:before="100" w:beforeAutospacing="1" w:after="100" w:afterAutospacing="1" w:line="276" w:lineRule="auto"/>
        <w:jc w:val="both"/>
        <w:rPr>
          <w:sz w:val="24"/>
          <w:szCs w:val="24"/>
          <w:lang w:eastAsia="en-GB"/>
        </w:rPr>
      </w:pPr>
      <w:r w:rsidRPr="3FD78F4F">
        <w:rPr>
          <w:sz w:val="24"/>
          <w:szCs w:val="24"/>
          <w:lang w:eastAsia="en-GB"/>
        </w:rPr>
        <w:t xml:space="preserve">Promote continuous improvement in broadcasting service delivery through compliance monitoring, stakeholder </w:t>
      </w:r>
      <w:r w:rsidR="655C9355" w:rsidRPr="3FD78F4F">
        <w:rPr>
          <w:sz w:val="24"/>
          <w:szCs w:val="24"/>
          <w:lang w:eastAsia="en-GB"/>
        </w:rPr>
        <w:t>engagement,</w:t>
      </w:r>
      <w:r w:rsidRPr="3FD78F4F">
        <w:rPr>
          <w:sz w:val="24"/>
          <w:szCs w:val="24"/>
          <w:lang w:eastAsia="en-GB"/>
        </w:rPr>
        <w:t xml:space="preserve"> and evidence-based regulatory interventions.</w:t>
      </w:r>
    </w:p>
    <w:p w14:paraId="6F2EA0EA" w14:textId="1C0C396A" w:rsidR="00105878" w:rsidRPr="00842A15" w:rsidRDefault="00105878" w:rsidP="3FD78F4F">
      <w:pPr>
        <w:spacing w:before="100" w:beforeAutospacing="1" w:after="100" w:afterAutospacing="1" w:line="276" w:lineRule="auto"/>
        <w:jc w:val="both"/>
        <w:rPr>
          <w:sz w:val="24"/>
          <w:szCs w:val="24"/>
          <w:lang w:eastAsia="en-GB"/>
        </w:rPr>
      </w:pPr>
      <w:r w:rsidRPr="3FD78F4F">
        <w:rPr>
          <w:sz w:val="24"/>
          <w:szCs w:val="24"/>
          <w:lang w:eastAsia="en-GB"/>
        </w:rPr>
        <w:t xml:space="preserve">These ongoing interventions reinforce the Authority's commitment to ensuring that broadcasting services remain reliable, </w:t>
      </w:r>
      <w:r w:rsidR="551E29F6" w:rsidRPr="3FD78F4F">
        <w:rPr>
          <w:sz w:val="24"/>
          <w:szCs w:val="24"/>
          <w:lang w:eastAsia="en-GB"/>
        </w:rPr>
        <w:t>accessible,</w:t>
      </w:r>
      <w:r w:rsidRPr="3FD78F4F">
        <w:rPr>
          <w:sz w:val="24"/>
          <w:szCs w:val="24"/>
          <w:lang w:eastAsia="en-GB"/>
        </w:rPr>
        <w:t xml:space="preserve"> and responsive to the needs of consumers while supporting a vibrant, </w:t>
      </w:r>
      <w:r w:rsidR="30164B5E" w:rsidRPr="3FD78F4F">
        <w:rPr>
          <w:sz w:val="24"/>
          <w:szCs w:val="24"/>
          <w:lang w:eastAsia="en-GB"/>
        </w:rPr>
        <w:t>diverse,</w:t>
      </w:r>
      <w:r w:rsidRPr="3FD78F4F">
        <w:rPr>
          <w:sz w:val="24"/>
          <w:szCs w:val="24"/>
          <w:lang w:eastAsia="en-GB"/>
        </w:rPr>
        <w:t xml:space="preserve"> and well-regulated broadcasting sector.</w:t>
      </w:r>
    </w:p>
    <w:p w14:paraId="6130066C" w14:textId="77777777" w:rsidR="00842A15" w:rsidRPr="00842A15" w:rsidRDefault="00842A15" w:rsidP="00842A15">
      <w:pPr>
        <w:pStyle w:val="ListParagraph"/>
        <w:numPr>
          <w:ilvl w:val="0"/>
          <w:numId w:val="4"/>
        </w:numPr>
        <w:spacing w:before="100" w:beforeAutospacing="1" w:after="100" w:afterAutospacing="1" w:line="276" w:lineRule="auto"/>
        <w:ind w:right="119"/>
        <w:jc w:val="both"/>
        <w:rPr>
          <w:b/>
          <w:bCs/>
          <w:sz w:val="24"/>
          <w:szCs w:val="24"/>
          <w:lang w:eastAsia="en-GB"/>
        </w:rPr>
      </w:pPr>
      <w:r w:rsidRPr="00842A15">
        <w:rPr>
          <w:b/>
          <w:bCs/>
          <w:sz w:val="24"/>
          <w:szCs w:val="24"/>
        </w:rPr>
        <w:t>Looking</w:t>
      </w:r>
      <w:r w:rsidRPr="00842A15">
        <w:rPr>
          <w:b/>
          <w:bCs/>
          <w:sz w:val="24"/>
          <w:szCs w:val="24"/>
          <w:lang w:eastAsia="en-GB"/>
        </w:rPr>
        <w:t xml:space="preserve"> Ahead</w:t>
      </w:r>
    </w:p>
    <w:p w14:paraId="0A734863" w14:textId="77777777" w:rsidR="00842A15" w:rsidRPr="00842A15" w:rsidRDefault="00842A15" w:rsidP="00842A15">
      <w:pPr>
        <w:spacing w:before="100" w:beforeAutospacing="1" w:after="100" w:afterAutospacing="1" w:line="276" w:lineRule="auto"/>
        <w:jc w:val="both"/>
        <w:rPr>
          <w:sz w:val="24"/>
          <w:szCs w:val="24"/>
          <w:lang w:eastAsia="en-GB"/>
        </w:rPr>
      </w:pPr>
      <w:r w:rsidRPr="00842A15">
        <w:rPr>
          <w:sz w:val="24"/>
          <w:szCs w:val="24"/>
          <w:lang w:eastAsia="en-GB"/>
        </w:rPr>
        <w:t>As Kenya's digital economy continues to evolve, the Authority will continue to strengthen its regulatory oversight to ensure that innovation is matched by robust consumer protection, industry accountability and resilient communications infrastructure.</w:t>
      </w:r>
    </w:p>
    <w:p w14:paraId="54FB35BC" w14:textId="1A0516E3" w:rsidR="00E016B4" w:rsidRDefault="00842A15" w:rsidP="00291BF0">
      <w:pPr>
        <w:spacing w:before="100" w:beforeAutospacing="1" w:after="100" w:afterAutospacing="1" w:line="276" w:lineRule="auto"/>
        <w:jc w:val="both"/>
        <w:rPr>
          <w:sz w:val="24"/>
          <w:szCs w:val="24"/>
          <w:lang w:eastAsia="en-GB"/>
        </w:rPr>
      </w:pPr>
      <w:r w:rsidRPr="00842A15">
        <w:rPr>
          <w:sz w:val="24"/>
          <w:szCs w:val="24"/>
          <w:lang w:eastAsia="en-GB"/>
        </w:rPr>
        <w:t xml:space="preserve">The Authority remains steadfast in its commitment to protecting the interests of consumers, and will continue to </w:t>
      </w:r>
      <w:r w:rsidR="003A63D0" w:rsidRPr="00842A15">
        <w:rPr>
          <w:sz w:val="24"/>
          <w:szCs w:val="24"/>
          <w:lang w:eastAsia="en-GB"/>
        </w:rPr>
        <w:t>priorit</w:t>
      </w:r>
      <w:r w:rsidR="003A63D0">
        <w:rPr>
          <w:sz w:val="24"/>
          <w:szCs w:val="24"/>
          <w:lang w:eastAsia="en-GB"/>
        </w:rPr>
        <w:t>ize</w:t>
      </w:r>
      <w:r w:rsidRPr="00842A15">
        <w:rPr>
          <w:sz w:val="24"/>
          <w:szCs w:val="24"/>
          <w:lang w:eastAsia="en-GB"/>
        </w:rPr>
        <w:t xml:space="preserve"> regulatory interventions aimed at improving Quality of Service across communications networks, strengthening safeguards against fraud and cyber-enabled crime, enhancing the security and integrity of SIM registration and replacement processes, promoting the use of Type Approved communications equipment, safeguarding consumer data and privacy, and improving service provider responsiveness and accountability. These efforts will be complemented by continued market surveillance, compliance monitoring, consumer awareness initiatives and closer collaboration with licensees, government agencies and other stakeholders to address emerging risks within the communications ecosystem</w:t>
      </w:r>
      <w:r w:rsidR="00291BF0">
        <w:rPr>
          <w:sz w:val="24"/>
          <w:szCs w:val="24"/>
          <w:lang w:eastAsia="en-GB"/>
        </w:rPr>
        <w:t>.</w:t>
      </w:r>
    </w:p>
    <w:p w14:paraId="134099D0" w14:textId="081A3254" w:rsidR="000664CF" w:rsidRPr="001C5F84" w:rsidRDefault="004D6577" w:rsidP="00291BF0">
      <w:pPr>
        <w:spacing w:before="100" w:beforeAutospacing="1" w:after="100" w:afterAutospacing="1" w:line="276" w:lineRule="auto"/>
        <w:jc w:val="both"/>
        <w:rPr>
          <w:i/>
          <w:iCs/>
          <w:sz w:val="24"/>
          <w:szCs w:val="24"/>
          <w:lang w:eastAsia="en-GB"/>
        </w:rPr>
      </w:pPr>
      <w:r w:rsidRPr="001C5F84">
        <w:rPr>
          <w:i/>
          <w:iCs/>
          <w:sz w:val="24"/>
          <w:szCs w:val="24"/>
          <w:lang w:eastAsia="en-GB"/>
        </w:rPr>
        <w:t xml:space="preserve">The Authority encourages consumers to </w:t>
      </w:r>
      <w:r w:rsidR="007504ED" w:rsidRPr="001C5F84">
        <w:rPr>
          <w:i/>
          <w:iCs/>
          <w:sz w:val="24"/>
          <w:szCs w:val="24"/>
          <w:lang w:eastAsia="en-GB"/>
        </w:rPr>
        <w:t xml:space="preserve">exercise their rights, demand quality, reliable and fair </w:t>
      </w:r>
      <w:r w:rsidR="0064673C" w:rsidRPr="001C5F84">
        <w:rPr>
          <w:i/>
          <w:iCs/>
          <w:sz w:val="24"/>
          <w:szCs w:val="24"/>
          <w:lang w:eastAsia="en-GB"/>
        </w:rPr>
        <w:t>services</w:t>
      </w:r>
      <w:r w:rsidR="007504ED" w:rsidRPr="001C5F84">
        <w:rPr>
          <w:i/>
          <w:iCs/>
          <w:sz w:val="24"/>
          <w:szCs w:val="24"/>
          <w:lang w:eastAsia="en-GB"/>
        </w:rPr>
        <w:t xml:space="preserve">, hold service providers accountable </w:t>
      </w:r>
      <w:r w:rsidR="009A10B2" w:rsidRPr="001C5F84">
        <w:rPr>
          <w:i/>
          <w:iCs/>
          <w:sz w:val="24"/>
          <w:szCs w:val="24"/>
          <w:lang w:eastAsia="en-GB"/>
        </w:rPr>
        <w:t>for</w:t>
      </w:r>
      <w:r w:rsidR="007504ED" w:rsidRPr="001C5F84">
        <w:rPr>
          <w:i/>
          <w:iCs/>
          <w:sz w:val="24"/>
          <w:szCs w:val="24"/>
          <w:lang w:eastAsia="en-GB"/>
        </w:rPr>
        <w:t xml:space="preserve"> service delivery and seek timely redress</w:t>
      </w:r>
      <w:r w:rsidR="00253EA7" w:rsidRPr="001C5F84">
        <w:rPr>
          <w:i/>
          <w:iCs/>
          <w:sz w:val="24"/>
          <w:szCs w:val="24"/>
          <w:lang w:eastAsia="en-GB"/>
        </w:rPr>
        <w:t xml:space="preserve"> where service standards or their expectations have not been met.</w:t>
      </w:r>
      <w:r w:rsidR="002143ED" w:rsidRPr="001C5F84">
        <w:rPr>
          <w:i/>
          <w:iCs/>
          <w:sz w:val="24"/>
          <w:szCs w:val="24"/>
          <w:lang w:eastAsia="en-GB"/>
        </w:rPr>
        <w:t xml:space="preserve"> </w:t>
      </w:r>
      <w:proofErr w:type="gramStart"/>
      <w:r w:rsidR="002143ED" w:rsidRPr="001C5F84">
        <w:rPr>
          <w:i/>
          <w:iCs/>
          <w:sz w:val="24"/>
          <w:szCs w:val="24"/>
          <w:lang w:eastAsia="en-GB"/>
        </w:rPr>
        <w:t>In the event that</w:t>
      </w:r>
      <w:proofErr w:type="gramEnd"/>
      <w:r w:rsidR="002143ED" w:rsidRPr="001C5F84">
        <w:rPr>
          <w:i/>
          <w:iCs/>
          <w:sz w:val="24"/>
          <w:szCs w:val="24"/>
          <w:lang w:eastAsia="en-GB"/>
        </w:rPr>
        <w:t xml:space="preserve"> the</w:t>
      </w:r>
      <w:r w:rsidR="0081328D" w:rsidRPr="001C5F84">
        <w:rPr>
          <w:i/>
          <w:iCs/>
          <w:sz w:val="24"/>
          <w:szCs w:val="24"/>
          <w:lang w:eastAsia="en-GB"/>
        </w:rPr>
        <w:t>ir</w:t>
      </w:r>
      <w:r w:rsidR="002143ED" w:rsidRPr="001C5F84">
        <w:rPr>
          <w:i/>
          <w:iCs/>
          <w:sz w:val="24"/>
          <w:szCs w:val="24"/>
          <w:lang w:eastAsia="en-GB"/>
        </w:rPr>
        <w:t xml:space="preserve"> </w:t>
      </w:r>
      <w:r w:rsidR="0081328D" w:rsidRPr="001C5F84">
        <w:rPr>
          <w:i/>
          <w:iCs/>
          <w:sz w:val="24"/>
          <w:szCs w:val="24"/>
          <w:lang w:eastAsia="en-GB"/>
        </w:rPr>
        <w:t>concerns</w:t>
      </w:r>
      <w:r w:rsidR="002143ED" w:rsidRPr="001C5F84">
        <w:rPr>
          <w:i/>
          <w:iCs/>
          <w:sz w:val="24"/>
          <w:szCs w:val="24"/>
          <w:lang w:eastAsia="en-GB"/>
        </w:rPr>
        <w:t xml:space="preserve"> </w:t>
      </w:r>
      <w:r w:rsidR="0081328D" w:rsidRPr="001C5F84">
        <w:rPr>
          <w:i/>
          <w:iCs/>
          <w:sz w:val="24"/>
          <w:szCs w:val="24"/>
          <w:lang w:eastAsia="en-GB"/>
        </w:rPr>
        <w:t>are</w:t>
      </w:r>
      <w:r w:rsidR="002143ED" w:rsidRPr="001C5F84">
        <w:rPr>
          <w:i/>
          <w:iCs/>
          <w:sz w:val="24"/>
          <w:szCs w:val="24"/>
          <w:lang w:eastAsia="en-GB"/>
        </w:rPr>
        <w:t xml:space="preserve"> not resolved by </w:t>
      </w:r>
      <w:r w:rsidR="0081328D" w:rsidRPr="001C5F84">
        <w:rPr>
          <w:i/>
          <w:iCs/>
          <w:sz w:val="24"/>
          <w:szCs w:val="24"/>
          <w:lang w:eastAsia="en-GB"/>
        </w:rPr>
        <w:t xml:space="preserve">their respective </w:t>
      </w:r>
      <w:r w:rsidR="002143ED" w:rsidRPr="001C5F84">
        <w:rPr>
          <w:i/>
          <w:iCs/>
          <w:sz w:val="24"/>
          <w:szCs w:val="24"/>
          <w:lang w:eastAsia="en-GB"/>
        </w:rPr>
        <w:t>service provider, consumers are encouraged to escalate their complaint to the Authorit</w:t>
      </w:r>
      <w:r w:rsidR="00A343F8" w:rsidRPr="001C5F84">
        <w:rPr>
          <w:i/>
          <w:iCs/>
          <w:sz w:val="24"/>
          <w:szCs w:val="24"/>
          <w:lang w:eastAsia="en-GB"/>
        </w:rPr>
        <w:t xml:space="preserve">y. </w:t>
      </w:r>
    </w:p>
    <w:p w14:paraId="51CF1EE6" w14:textId="2C153DDE" w:rsidR="000664CF" w:rsidRDefault="000664CF" w:rsidP="00291BF0">
      <w:pPr>
        <w:spacing w:before="100" w:beforeAutospacing="1" w:after="100" w:afterAutospacing="1" w:line="276" w:lineRule="auto"/>
        <w:jc w:val="both"/>
        <w:rPr>
          <w:sz w:val="24"/>
          <w:szCs w:val="24"/>
          <w:lang w:eastAsia="en-GB"/>
        </w:rPr>
      </w:pPr>
      <w:r w:rsidRPr="001C5F84">
        <w:rPr>
          <w:b/>
          <w:bCs/>
          <w:sz w:val="24"/>
          <w:szCs w:val="24"/>
          <w:lang w:eastAsia="en-GB"/>
        </w:rPr>
        <w:t>Information on Consumer Rights</w:t>
      </w:r>
      <w:r w:rsidR="00F729EF">
        <w:rPr>
          <w:sz w:val="24"/>
          <w:szCs w:val="24"/>
          <w:lang w:eastAsia="en-GB"/>
        </w:rPr>
        <w:t xml:space="preserve"> is available at </w:t>
      </w:r>
      <w:hyperlink r:id="rId7" w:history="1">
        <w:r w:rsidR="00F729EF" w:rsidRPr="00D31508">
          <w:rPr>
            <w:rStyle w:val="Hyperlink"/>
            <w:sz w:val="24"/>
            <w:szCs w:val="24"/>
            <w:lang w:eastAsia="en-GB"/>
          </w:rPr>
          <w:t>https://www.ca.go.ke/consumer-education-</w:t>
        </w:r>
        <w:r w:rsidR="00F729EF" w:rsidRPr="00D31508">
          <w:rPr>
            <w:rStyle w:val="Hyperlink"/>
            <w:sz w:val="24"/>
            <w:szCs w:val="24"/>
            <w:lang w:eastAsia="en-GB"/>
          </w:rPr>
          <w:lastRenderedPageBreak/>
          <w:t>outreach-0</w:t>
        </w:r>
      </w:hyperlink>
      <w:r w:rsidR="00F729EF">
        <w:rPr>
          <w:sz w:val="24"/>
          <w:szCs w:val="24"/>
          <w:lang w:eastAsia="en-GB"/>
        </w:rPr>
        <w:t xml:space="preserve"> </w:t>
      </w:r>
    </w:p>
    <w:p w14:paraId="62571181" w14:textId="6342BBF1" w:rsidR="00A343F8" w:rsidRPr="001C5F84" w:rsidRDefault="00A343F8" w:rsidP="00291BF0">
      <w:pPr>
        <w:spacing w:before="100" w:beforeAutospacing="1" w:after="100" w:afterAutospacing="1" w:line="276" w:lineRule="auto"/>
        <w:jc w:val="both"/>
        <w:rPr>
          <w:b/>
          <w:bCs/>
          <w:sz w:val="24"/>
          <w:szCs w:val="24"/>
          <w:lang w:eastAsia="en-GB"/>
        </w:rPr>
      </w:pPr>
      <w:r w:rsidRPr="001C5F84">
        <w:rPr>
          <w:b/>
          <w:bCs/>
          <w:sz w:val="24"/>
          <w:szCs w:val="24"/>
          <w:lang w:eastAsia="en-GB"/>
        </w:rPr>
        <w:t xml:space="preserve">Details on </w:t>
      </w:r>
      <w:r w:rsidR="003E3608" w:rsidRPr="001C5F84">
        <w:rPr>
          <w:b/>
          <w:bCs/>
          <w:sz w:val="24"/>
          <w:szCs w:val="24"/>
          <w:lang w:eastAsia="en-GB"/>
        </w:rPr>
        <w:t xml:space="preserve">where and </w:t>
      </w:r>
      <w:r w:rsidRPr="001C5F84">
        <w:rPr>
          <w:b/>
          <w:bCs/>
          <w:sz w:val="24"/>
          <w:szCs w:val="24"/>
          <w:lang w:eastAsia="en-GB"/>
        </w:rPr>
        <w:t xml:space="preserve">how to make complaints </w:t>
      </w:r>
      <w:r w:rsidR="00F729EF" w:rsidRPr="001C5F84">
        <w:rPr>
          <w:b/>
          <w:bCs/>
          <w:sz w:val="24"/>
          <w:szCs w:val="24"/>
          <w:lang w:eastAsia="en-GB"/>
        </w:rPr>
        <w:t>have</w:t>
      </w:r>
      <w:r w:rsidRPr="001C5F84">
        <w:rPr>
          <w:b/>
          <w:bCs/>
          <w:sz w:val="24"/>
          <w:szCs w:val="24"/>
          <w:lang w:eastAsia="en-GB"/>
        </w:rPr>
        <w:t xml:space="preserve"> </w:t>
      </w:r>
      <w:r w:rsidR="00F729EF" w:rsidRPr="001C5F84">
        <w:rPr>
          <w:b/>
          <w:bCs/>
          <w:sz w:val="24"/>
          <w:szCs w:val="24"/>
          <w:lang w:eastAsia="en-GB"/>
        </w:rPr>
        <w:t xml:space="preserve">been </w:t>
      </w:r>
      <w:r w:rsidRPr="001C5F84">
        <w:rPr>
          <w:b/>
          <w:bCs/>
          <w:sz w:val="24"/>
          <w:szCs w:val="24"/>
          <w:lang w:eastAsia="en-GB"/>
        </w:rPr>
        <w:t>provided her</w:t>
      </w:r>
      <w:r w:rsidR="00F729EF" w:rsidRPr="001C5F84">
        <w:rPr>
          <w:b/>
          <w:bCs/>
          <w:sz w:val="24"/>
          <w:szCs w:val="24"/>
          <w:lang w:eastAsia="en-GB"/>
        </w:rPr>
        <w:t>e</w:t>
      </w:r>
      <w:r w:rsidRPr="001C5F84">
        <w:rPr>
          <w:b/>
          <w:bCs/>
          <w:sz w:val="24"/>
          <w:szCs w:val="24"/>
          <w:lang w:eastAsia="en-GB"/>
        </w:rPr>
        <w:t xml:space="preserve"> below:</w:t>
      </w:r>
    </w:p>
    <w:p w14:paraId="72ABDCC6" w14:textId="6BBDD91E" w:rsidR="002C0518" w:rsidRPr="002C0518" w:rsidRDefault="002C0518" w:rsidP="001C5F84">
      <w:pPr>
        <w:spacing w:before="100" w:beforeAutospacing="1" w:after="100" w:afterAutospacing="1"/>
        <w:jc w:val="both"/>
        <w:rPr>
          <w:sz w:val="24"/>
          <w:szCs w:val="24"/>
          <w:lang w:val="en-KE" w:eastAsia="en-GB"/>
        </w:rPr>
      </w:pPr>
      <w:r w:rsidRPr="002C0518">
        <w:rPr>
          <w:sz w:val="24"/>
          <w:szCs w:val="24"/>
          <w:lang w:val="en-GB" w:eastAsia="en-GB"/>
        </w:rPr>
        <w:t xml:space="preserve">Website: </w:t>
      </w:r>
      <w:hyperlink r:id="rId8" w:history="1">
        <w:r w:rsidR="000B7CF3" w:rsidRPr="00D31508">
          <w:rPr>
            <w:rStyle w:val="Hyperlink"/>
            <w:sz w:val="24"/>
            <w:szCs w:val="24"/>
            <w:lang w:val="en-GB" w:eastAsia="en-GB"/>
          </w:rPr>
          <w:t>https://www.ca.go.ke/consumer-complaint</w:t>
        </w:r>
      </w:hyperlink>
      <w:r w:rsidR="000B7CF3">
        <w:rPr>
          <w:sz w:val="24"/>
          <w:szCs w:val="24"/>
          <w:lang w:val="en-GB" w:eastAsia="en-GB"/>
        </w:rPr>
        <w:t xml:space="preserve"> </w:t>
      </w:r>
    </w:p>
    <w:p w14:paraId="46418CE5" w14:textId="77777777" w:rsidR="002C0518" w:rsidRPr="002C0518" w:rsidRDefault="002C0518" w:rsidP="001C5F84">
      <w:pPr>
        <w:spacing w:before="100" w:beforeAutospacing="1" w:after="100" w:afterAutospacing="1"/>
        <w:jc w:val="both"/>
        <w:rPr>
          <w:sz w:val="24"/>
          <w:szCs w:val="24"/>
          <w:lang w:val="en-KE" w:eastAsia="en-GB"/>
        </w:rPr>
      </w:pPr>
      <w:r w:rsidRPr="002C0518">
        <w:rPr>
          <w:sz w:val="24"/>
          <w:szCs w:val="24"/>
          <w:lang w:val="en-GB" w:eastAsia="en-GB"/>
        </w:rPr>
        <w:t xml:space="preserve">Email: </w:t>
      </w:r>
      <w:hyperlink r:id="rId9" w:history="1">
        <w:r w:rsidRPr="002C0518">
          <w:rPr>
            <w:rStyle w:val="Hyperlink"/>
            <w:sz w:val="24"/>
            <w:szCs w:val="24"/>
            <w:lang w:val="en-GB" w:eastAsia="en-GB"/>
          </w:rPr>
          <w:t>chukuahatua@ca.go.ke</w:t>
        </w:r>
      </w:hyperlink>
      <w:r w:rsidRPr="002C0518">
        <w:rPr>
          <w:sz w:val="24"/>
          <w:szCs w:val="24"/>
          <w:lang w:val="en-GB" w:eastAsia="en-GB"/>
        </w:rPr>
        <w:t>;</w:t>
      </w:r>
    </w:p>
    <w:p w14:paraId="5BC6F57F" w14:textId="2802007C" w:rsidR="002C0518" w:rsidRPr="002C0518" w:rsidRDefault="002C0518" w:rsidP="001C5F84">
      <w:pPr>
        <w:spacing w:before="100" w:beforeAutospacing="1" w:after="100" w:afterAutospacing="1"/>
        <w:jc w:val="both"/>
        <w:rPr>
          <w:sz w:val="24"/>
          <w:szCs w:val="24"/>
          <w:lang w:val="en-KE" w:eastAsia="en-GB"/>
        </w:rPr>
      </w:pPr>
      <w:r w:rsidRPr="002C0518">
        <w:rPr>
          <w:sz w:val="24"/>
          <w:szCs w:val="24"/>
          <w:lang w:val="en-GB" w:eastAsia="en-GB"/>
        </w:rPr>
        <w:t>Telephone hotlines:  +254-703-042700; +254-730-172700</w:t>
      </w:r>
    </w:p>
    <w:p w14:paraId="7AC4EDD6" w14:textId="77777777" w:rsidR="002C0518" w:rsidRPr="002C0518" w:rsidRDefault="002C0518" w:rsidP="001C5F84">
      <w:pPr>
        <w:spacing w:before="100" w:beforeAutospacing="1" w:after="100" w:afterAutospacing="1"/>
        <w:jc w:val="both"/>
        <w:rPr>
          <w:sz w:val="24"/>
          <w:szCs w:val="24"/>
          <w:lang w:val="en-KE" w:eastAsia="en-GB"/>
        </w:rPr>
      </w:pPr>
      <w:r w:rsidRPr="002C0518">
        <w:rPr>
          <w:sz w:val="24"/>
          <w:szCs w:val="24"/>
          <w:lang w:val="en-GB" w:eastAsia="en-GB"/>
        </w:rPr>
        <w:t>Visit the Authority</w:t>
      </w:r>
    </w:p>
    <w:p w14:paraId="6FE52FBD" w14:textId="77777777" w:rsidR="002C0518" w:rsidRPr="002C0518" w:rsidRDefault="002C0518" w:rsidP="001C5F84">
      <w:pPr>
        <w:spacing w:before="100" w:beforeAutospacing="1" w:after="100" w:afterAutospacing="1"/>
        <w:jc w:val="both"/>
        <w:rPr>
          <w:sz w:val="24"/>
          <w:szCs w:val="24"/>
          <w:lang w:val="en-KE" w:eastAsia="en-GB"/>
        </w:rPr>
      </w:pPr>
      <w:r w:rsidRPr="002C0518">
        <w:rPr>
          <w:sz w:val="24"/>
          <w:szCs w:val="24"/>
          <w:lang w:val="en-GB" w:eastAsia="en-GB"/>
        </w:rPr>
        <w:t>CA Centre along Waiyaki Way, Westlands</w:t>
      </w:r>
    </w:p>
    <w:p w14:paraId="46654F62" w14:textId="77777777" w:rsidR="002C0518" w:rsidRPr="002C0518" w:rsidRDefault="002C0518" w:rsidP="001C5F84">
      <w:pPr>
        <w:spacing w:before="100" w:beforeAutospacing="1" w:after="100" w:afterAutospacing="1"/>
        <w:jc w:val="both"/>
        <w:rPr>
          <w:sz w:val="24"/>
          <w:szCs w:val="24"/>
          <w:lang w:val="en-KE" w:eastAsia="en-GB"/>
        </w:rPr>
      </w:pPr>
      <w:r w:rsidRPr="002C0518">
        <w:rPr>
          <w:sz w:val="24"/>
          <w:szCs w:val="24"/>
          <w:lang w:val="en-GB" w:eastAsia="en-GB"/>
        </w:rPr>
        <w:t>Via a letter addressed to:</w:t>
      </w:r>
    </w:p>
    <w:p w14:paraId="37A347D5" w14:textId="77777777" w:rsidR="002C0518" w:rsidRPr="002C0518" w:rsidRDefault="002C0518" w:rsidP="001C5F84">
      <w:pPr>
        <w:spacing w:before="100" w:beforeAutospacing="1" w:after="100" w:afterAutospacing="1"/>
        <w:jc w:val="both"/>
        <w:rPr>
          <w:sz w:val="24"/>
          <w:szCs w:val="24"/>
          <w:lang w:val="en-KE" w:eastAsia="en-GB"/>
        </w:rPr>
      </w:pPr>
      <w:r w:rsidRPr="002C0518">
        <w:rPr>
          <w:sz w:val="24"/>
          <w:szCs w:val="24"/>
          <w:lang w:val="en-GB" w:eastAsia="en-GB"/>
        </w:rPr>
        <w:t>The Director-General</w:t>
      </w:r>
    </w:p>
    <w:p w14:paraId="0E077912" w14:textId="77777777" w:rsidR="002C0518" w:rsidRPr="002C0518" w:rsidRDefault="002C0518" w:rsidP="001C5F84">
      <w:pPr>
        <w:spacing w:before="100" w:beforeAutospacing="1" w:after="100" w:afterAutospacing="1"/>
        <w:jc w:val="both"/>
        <w:rPr>
          <w:sz w:val="24"/>
          <w:szCs w:val="24"/>
          <w:lang w:val="en-KE" w:eastAsia="en-GB"/>
        </w:rPr>
      </w:pPr>
      <w:r w:rsidRPr="002C0518">
        <w:rPr>
          <w:sz w:val="24"/>
          <w:szCs w:val="24"/>
          <w:lang w:val="en-GB" w:eastAsia="en-GB"/>
        </w:rPr>
        <w:t xml:space="preserve"> Communications Authority of Kenya (CA)</w:t>
      </w:r>
    </w:p>
    <w:p w14:paraId="4FBC4DFA" w14:textId="77777777" w:rsidR="002C0518" w:rsidRPr="002C0518" w:rsidRDefault="002C0518" w:rsidP="001C5F84">
      <w:pPr>
        <w:spacing w:before="100" w:beforeAutospacing="1" w:after="100" w:afterAutospacing="1"/>
        <w:jc w:val="both"/>
        <w:rPr>
          <w:sz w:val="24"/>
          <w:szCs w:val="24"/>
          <w:lang w:val="en-KE" w:eastAsia="en-GB"/>
        </w:rPr>
      </w:pPr>
      <w:r w:rsidRPr="002C0518">
        <w:rPr>
          <w:sz w:val="24"/>
          <w:szCs w:val="24"/>
          <w:lang w:val="en-GB" w:eastAsia="en-GB"/>
        </w:rPr>
        <w:t xml:space="preserve"> CA Centre, Waiyaki Way</w:t>
      </w:r>
    </w:p>
    <w:p w14:paraId="55F1A19F" w14:textId="718F2A1A" w:rsidR="00291BF0" w:rsidRPr="00291BF0" w:rsidRDefault="002C0518" w:rsidP="001C5F84">
      <w:pPr>
        <w:spacing w:before="100" w:beforeAutospacing="1" w:after="100" w:afterAutospacing="1"/>
        <w:jc w:val="both"/>
        <w:rPr>
          <w:sz w:val="24"/>
          <w:szCs w:val="24"/>
          <w:lang w:eastAsia="en-GB"/>
        </w:rPr>
      </w:pPr>
      <w:r w:rsidRPr="002C0518">
        <w:rPr>
          <w:sz w:val="24"/>
          <w:szCs w:val="24"/>
          <w:lang w:val="en-GB" w:eastAsia="en-GB"/>
        </w:rPr>
        <w:t xml:space="preserve"> P.O. Box 14448 Westlands 00800 Nairobi Kenya</w:t>
      </w:r>
    </w:p>
    <w:sectPr w:rsidR="00291BF0" w:rsidRPr="00291BF0" w:rsidSect="00592106">
      <w:headerReference w:type="default" r:id="rId10"/>
      <w:footerReference w:type="even" r:id="rId11"/>
      <w:footerReference w:type="default" r:id="rId12"/>
      <w:type w:val="continuous"/>
      <w:pgSz w:w="11900" w:h="16840"/>
      <w:pgMar w:top="1440" w:right="1080" w:bottom="1440" w:left="108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805823C" w14:textId="77777777" w:rsidR="00E51993" w:rsidRDefault="00E51993" w:rsidP="00842A15">
      <w:r>
        <w:separator/>
      </w:r>
    </w:p>
  </w:endnote>
  <w:endnote w:type="continuationSeparator" w:id="0">
    <w:p w14:paraId="15830E7E" w14:textId="77777777" w:rsidR="00E51993" w:rsidRDefault="00E51993" w:rsidP="00842A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2128068201"/>
      <w:docPartObj>
        <w:docPartGallery w:val="Page Numbers (Bottom of Page)"/>
        <w:docPartUnique/>
      </w:docPartObj>
    </w:sdtPr>
    <w:sdtContent>
      <w:p w14:paraId="67635BA7" w14:textId="08928382" w:rsidR="00291BF0" w:rsidRDefault="00291BF0" w:rsidP="00240F9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6308E5C3" w14:textId="77777777" w:rsidR="00291BF0" w:rsidRDefault="00291BF0" w:rsidP="00291BF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81062636"/>
      <w:docPartObj>
        <w:docPartGallery w:val="Page Numbers (Bottom of Page)"/>
        <w:docPartUnique/>
      </w:docPartObj>
    </w:sdtPr>
    <w:sdtContent>
      <w:p w14:paraId="134ED252" w14:textId="6ECF6B1D" w:rsidR="00291BF0" w:rsidRDefault="00291BF0" w:rsidP="00240F9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11</w:t>
        </w:r>
        <w:r>
          <w:rPr>
            <w:rStyle w:val="PageNumber"/>
          </w:rPr>
          <w:fldChar w:fldCharType="end"/>
        </w:r>
      </w:p>
    </w:sdtContent>
  </w:sdt>
  <w:p w14:paraId="628E974A" w14:textId="77777777" w:rsidR="00291BF0" w:rsidRDefault="00291BF0" w:rsidP="00291BF0">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02D12E4" w14:textId="77777777" w:rsidR="00E51993" w:rsidRDefault="00E51993" w:rsidP="00842A15">
      <w:r>
        <w:separator/>
      </w:r>
    </w:p>
  </w:footnote>
  <w:footnote w:type="continuationSeparator" w:id="0">
    <w:p w14:paraId="0EADDA38" w14:textId="77777777" w:rsidR="00E51993" w:rsidRDefault="00E51993" w:rsidP="00842A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1F1E15F" w14:textId="31C86230" w:rsidR="00842A15" w:rsidRDefault="00842A15" w:rsidP="00842A15">
    <w:pPr>
      <w:pStyle w:val="Header"/>
      <w:jc w:val="center"/>
    </w:pPr>
    <w:r w:rsidRPr="00842A15">
      <w:rPr>
        <w:noProof/>
        <w:sz w:val="24"/>
        <w:szCs w:val="24"/>
      </w:rPr>
      <w:drawing>
        <wp:inline distT="0" distB="0" distL="0" distR="0" wp14:anchorId="6F6BA546" wp14:editId="0FB06678">
          <wp:extent cx="2065005" cy="627888"/>
          <wp:effectExtent l="0" t="0" r="0" b="0"/>
          <wp:docPr id="736072540"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2065005" cy="62788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781131C"/>
    <w:multiLevelType w:val="multilevel"/>
    <w:tmpl w:val="924252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014678"/>
    <w:multiLevelType w:val="multilevel"/>
    <w:tmpl w:val="4AEE0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7B10DD"/>
    <w:multiLevelType w:val="multilevel"/>
    <w:tmpl w:val="34C83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795159"/>
    <w:multiLevelType w:val="multilevel"/>
    <w:tmpl w:val="14789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733397D"/>
    <w:multiLevelType w:val="multilevel"/>
    <w:tmpl w:val="67D4BB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AFF7076"/>
    <w:multiLevelType w:val="multilevel"/>
    <w:tmpl w:val="541E5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73F4BE5"/>
    <w:multiLevelType w:val="multilevel"/>
    <w:tmpl w:val="0809001F"/>
    <w:lvl w:ilvl="0">
      <w:start w:val="1"/>
      <w:numFmt w:val="decimal"/>
      <w:lvlText w:val="%1."/>
      <w:lvlJc w:val="left"/>
      <w:pPr>
        <w:ind w:left="360" w:hanging="360"/>
      </w:pPr>
      <w:rPr>
        <w:rFonts w:hint="default"/>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6EC2E40"/>
    <w:multiLevelType w:val="multilevel"/>
    <w:tmpl w:val="59104506"/>
    <w:lvl w:ilvl="0">
      <w:start w:val="1"/>
      <w:numFmt w:val="decimal"/>
      <w:lvlText w:val="%1."/>
      <w:lvlJc w:val="left"/>
      <w:pPr>
        <w:ind w:left="360" w:hanging="360"/>
      </w:pPr>
    </w:lvl>
    <w:lvl w:ilvl="1">
      <w:start w:val="1"/>
      <w:numFmt w:val="decimal"/>
      <w:lvlText w:val="%1.%2."/>
      <w:lvlJc w:val="left"/>
      <w:pPr>
        <w:ind w:left="792" w:hanging="432"/>
      </w:pPr>
      <w:rPr>
        <w:i/>
        <w:i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4E3F066B"/>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60CD633C"/>
    <w:multiLevelType w:val="hybridMultilevel"/>
    <w:tmpl w:val="38C67F70"/>
    <w:lvl w:ilvl="0" w:tplc="0409000F">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35C5EC3"/>
    <w:multiLevelType w:val="multilevel"/>
    <w:tmpl w:val="6C9E6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95525907">
    <w:abstractNumId w:val="9"/>
  </w:num>
  <w:num w:numId="2" w16cid:durableId="1287931838">
    <w:abstractNumId w:val="0"/>
  </w:num>
  <w:num w:numId="3" w16cid:durableId="1203666166">
    <w:abstractNumId w:val="8"/>
  </w:num>
  <w:num w:numId="4" w16cid:durableId="1092051805">
    <w:abstractNumId w:val="7"/>
  </w:num>
  <w:num w:numId="5" w16cid:durableId="876814132">
    <w:abstractNumId w:val="1"/>
  </w:num>
  <w:num w:numId="6" w16cid:durableId="223032537">
    <w:abstractNumId w:val="2"/>
  </w:num>
  <w:num w:numId="7" w16cid:durableId="1471944778">
    <w:abstractNumId w:val="5"/>
  </w:num>
  <w:num w:numId="8" w16cid:durableId="2080714251">
    <w:abstractNumId w:val="3"/>
  </w:num>
  <w:num w:numId="9" w16cid:durableId="1876579863">
    <w:abstractNumId w:val="4"/>
  </w:num>
  <w:num w:numId="10" w16cid:durableId="1773941106">
    <w:abstractNumId w:val="10"/>
  </w:num>
  <w:num w:numId="11" w16cid:durableId="985233795">
    <w:abstractNumId w:val="6"/>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16B4"/>
    <w:rsid w:val="000007EE"/>
    <w:rsid w:val="000012FB"/>
    <w:rsid w:val="00003927"/>
    <w:rsid w:val="00006963"/>
    <w:rsid w:val="00016053"/>
    <w:rsid w:val="00023BBB"/>
    <w:rsid w:val="00023E19"/>
    <w:rsid w:val="00042178"/>
    <w:rsid w:val="00045009"/>
    <w:rsid w:val="00045252"/>
    <w:rsid w:val="000664CF"/>
    <w:rsid w:val="000730C5"/>
    <w:rsid w:val="0007746C"/>
    <w:rsid w:val="00091458"/>
    <w:rsid w:val="000A0F40"/>
    <w:rsid w:val="000A1CC0"/>
    <w:rsid w:val="000B7CF3"/>
    <w:rsid w:val="000C59C7"/>
    <w:rsid w:val="000D355D"/>
    <w:rsid w:val="000D7AF0"/>
    <w:rsid w:val="000E118E"/>
    <w:rsid w:val="000F2628"/>
    <w:rsid w:val="000F608F"/>
    <w:rsid w:val="000F6C39"/>
    <w:rsid w:val="0010250D"/>
    <w:rsid w:val="001041DB"/>
    <w:rsid w:val="00105878"/>
    <w:rsid w:val="00110964"/>
    <w:rsid w:val="00117D05"/>
    <w:rsid w:val="001251BD"/>
    <w:rsid w:val="00127D84"/>
    <w:rsid w:val="00132B2C"/>
    <w:rsid w:val="00141E6F"/>
    <w:rsid w:val="0015525D"/>
    <w:rsid w:val="00161260"/>
    <w:rsid w:val="001820FB"/>
    <w:rsid w:val="00183474"/>
    <w:rsid w:val="001B2638"/>
    <w:rsid w:val="001B35B9"/>
    <w:rsid w:val="001B75E3"/>
    <w:rsid w:val="001C128B"/>
    <w:rsid w:val="001C58A7"/>
    <w:rsid w:val="001C5F84"/>
    <w:rsid w:val="001D4CD0"/>
    <w:rsid w:val="001E5143"/>
    <w:rsid w:val="001E584A"/>
    <w:rsid w:val="001E61D8"/>
    <w:rsid w:val="001E649A"/>
    <w:rsid w:val="001F71F7"/>
    <w:rsid w:val="002121FC"/>
    <w:rsid w:val="002143ED"/>
    <w:rsid w:val="00226ECA"/>
    <w:rsid w:val="00240F9B"/>
    <w:rsid w:val="00244331"/>
    <w:rsid w:val="00250B1C"/>
    <w:rsid w:val="00253EA7"/>
    <w:rsid w:val="00262895"/>
    <w:rsid w:val="00280951"/>
    <w:rsid w:val="00281295"/>
    <w:rsid w:val="00290315"/>
    <w:rsid w:val="00291BF0"/>
    <w:rsid w:val="00294544"/>
    <w:rsid w:val="002B436B"/>
    <w:rsid w:val="002B4539"/>
    <w:rsid w:val="002B5E0A"/>
    <w:rsid w:val="002C0518"/>
    <w:rsid w:val="002C6303"/>
    <w:rsid w:val="002C76A9"/>
    <w:rsid w:val="002D5640"/>
    <w:rsid w:val="002E5708"/>
    <w:rsid w:val="003017EE"/>
    <w:rsid w:val="00317640"/>
    <w:rsid w:val="0032169E"/>
    <w:rsid w:val="00325809"/>
    <w:rsid w:val="003275CC"/>
    <w:rsid w:val="003407A4"/>
    <w:rsid w:val="00342B6A"/>
    <w:rsid w:val="00363F3B"/>
    <w:rsid w:val="003663D8"/>
    <w:rsid w:val="00374F6B"/>
    <w:rsid w:val="003753BA"/>
    <w:rsid w:val="00377998"/>
    <w:rsid w:val="00380617"/>
    <w:rsid w:val="0038158E"/>
    <w:rsid w:val="00394CFD"/>
    <w:rsid w:val="00395D25"/>
    <w:rsid w:val="003A63D0"/>
    <w:rsid w:val="003B7CEA"/>
    <w:rsid w:val="003D1848"/>
    <w:rsid w:val="003E1131"/>
    <w:rsid w:val="003E3374"/>
    <w:rsid w:val="003E3608"/>
    <w:rsid w:val="003F01DB"/>
    <w:rsid w:val="00420F3F"/>
    <w:rsid w:val="004237E9"/>
    <w:rsid w:val="00444820"/>
    <w:rsid w:val="00453B55"/>
    <w:rsid w:val="00456A55"/>
    <w:rsid w:val="004620AE"/>
    <w:rsid w:val="00466A78"/>
    <w:rsid w:val="00482C43"/>
    <w:rsid w:val="0049730E"/>
    <w:rsid w:val="00497AA9"/>
    <w:rsid w:val="004A17B2"/>
    <w:rsid w:val="004A3232"/>
    <w:rsid w:val="004B7879"/>
    <w:rsid w:val="004D6577"/>
    <w:rsid w:val="00503087"/>
    <w:rsid w:val="00525407"/>
    <w:rsid w:val="00540938"/>
    <w:rsid w:val="0054350E"/>
    <w:rsid w:val="00546570"/>
    <w:rsid w:val="00546AA2"/>
    <w:rsid w:val="005544DE"/>
    <w:rsid w:val="00564F20"/>
    <w:rsid w:val="00583CDE"/>
    <w:rsid w:val="00590B6A"/>
    <w:rsid w:val="00592106"/>
    <w:rsid w:val="005A2D4C"/>
    <w:rsid w:val="005B7D0C"/>
    <w:rsid w:val="005C7E14"/>
    <w:rsid w:val="005D3433"/>
    <w:rsid w:val="005D6E16"/>
    <w:rsid w:val="005E7F62"/>
    <w:rsid w:val="005F5FC8"/>
    <w:rsid w:val="00601EA4"/>
    <w:rsid w:val="00613CC6"/>
    <w:rsid w:val="00617E07"/>
    <w:rsid w:val="00620266"/>
    <w:rsid w:val="00620333"/>
    <w:rsid w:val="00621378"/>
    <w:rsid w:val="00627B10"/>
    <w:rsid w:val="00641AE0"/>
    <w:rsid w:val="00642A83"/>
    <w:rsid w:val="0064673C"/>
    <w:rsid w:val="00664C01"/>
    <w:rsid w:val="00670476"/>
    <w:rsid w:val="006715B9"/>
    <w:rsid w:val="00671EEF"/>
    <w:rsid w:val="0068085F"/>
    <w:rsid w:val="00683E8B"/>
    <w:rsid w:val="006944CF"/>
    <w:rsid w:val="00694CE8"/>
    <w:rsid w:val="00695127"/>
    <w:rsid w:val="006A10BF"/>
    <w:rsid w:val="006A44DD"/>
    <w:rsid w:val="006B4431"/>
    <w:rsid w:val="006B5935"/>
    <w:rsid w:val="006C0AB7"/>
    <w:rsid w:val="006C17FA"/>
    <w:rsid w:val="006E103F"/>
    <w:rsid w:val="006E54F4"/>
    <w:rsid w:val="006F00F5"/>
    <w:rsid w:val="007004B1"/>
    <w:rsid w:val="00700505"/>
    <w:rsid w:val="00702694"/>
    <w:rsid w:val="007208B1"/>
    <w:rsid w:val="00732F63"/>
    <w:rsid w:val="00734059"/>
    <w:rsid w:val="007504ED"/>
    <w:rsid w:val="007533F9"/>
    <w:rsid w:val="00787849"/>
    <w:rsid w:val="007A26C5"/>
    <w:rsid w:val="007A3865"/>
    <w:rsid w:val="007B131A"/>
    <w:rsid w:val="007B3480"/>
    <w:rsid w:val="007C0188"/>
    <w:rsid w:val="007C5AD7"/>
    <w:rsid w:val="007E00FA"/>
    <w:rsid w:val="007E59C8"/>
    <w:rsid w:val="00806082"/>
    <w:rsid w:val="0081328D"/>
    <w:rsid w:val="00815108"/>
    <w:rsid w:val="00840EE0"/>
    <w:rsid w:val="00842A15"/>
    <w:rsid w:val="00850507"/>
    <w:rsid w:val="00866F39"/>
    <w:rsid w:val="00895D4A"/>
    <w:rsid w:val="008B42E3"/>
    <w:rsid w:val="008B749D"/>
    <w:rsid w:val="008C65A5"/>
    <w:rsid w:val="008D019A"/>
    <w:rsid w:val="008E1C69"/>
    <w:rsid w:val="008F081D"/>
    <w:rsid w:val="008F39E0"/>
    <w:rsid w:val="008F5176"/>
    <w:rsid w:val="00906092"/>
    <w:rsid w:val="00910E03"/>
    <w:rsid w:val="00913A3F"/>
    <w:rsid w:val="00917635"/>
    <w:rsid w:val="00921550"/>
    <w:rsid w:val="0093083B"/>
    <w:rsid w:val="00944D60"/>
    <w:rsid w:val="0094635D"/>
    <w:rsid w:val="0095673A"/>
    <w:rsid w:val="00956DB5"/>
    <w:rsid w:val="00961D35"/>
    <w:rsid w:val="00977DFD"/>
    <w:rsid w:val="00986358"/>
    <w:rsid w:val="009963D2"/>
    <w:rsid w:val="009A0231"/>
    <w:rsid w:val="009A10B2"/>
    <w:rsid w:val="009A2CFA"/>
    <w:rsid w:val="009C70BB"/>
    <w:rsid w:val="009D5C38"/>
    <w:rsid w:val="009E14FA"/>
    <w:rsid w:val="009E51EE"/>
    <w:rsid w:val="009F2746"/>
    <w:rsid w:val="009F41A2"/>
    <w:rsid w:val="00A22355"/>
    <w:rsid w:val="00A30C50"/>
    <w:rsid w:val="00A323D6"/>
    <w:rsid w:val="00A342B3"/>
    <w:rsid w:val="00A343F8"/>
    <w:rsid w:val="00A36C7B"/>
    <w:rsid w:val="00A36F68"/>
    <w:rsid w:val="00A508A5"/>
    <w:rsid w:val="00A676FB"/>
    <w:rsid w:val="00A80578"/>
    <w:rsid w:val="00A8071D"/>
    <w:rsid w:val="00A8773F"/>
    <w:rsid w:val="00AA12C2"/>
    <w:rsid w:val="00AB3241"/>
    <w:rsid w:val="00AB6085"/>
    <w:rsid w:val="00AD066D"/>
    <w:rsid w:val="00AF634D"/>
    <w:rsid w:val="00B01645"/>
    <w:rsid w:val="00B05FE7"/>
    <w:rsid w:val="00B27219"/>
    <w:rsid w:val="00B40DD2"/>
    <w:rsid w:val="00B473F1"/>
    <w:rsid w:val="00B50FF6"/>
    <w:rsid w:val="00B556E0"/>
    <w:rsid w:val="00B84629"/>
    <w:rsid w:val="00B9467E"/>
    <w:rsid w:val="00B973FF"/>
    <w:rsid w:val="00BA77FE"/>
    <w:rsid w:val="00BD0A30"/>
    <w:rsid w:val="00BD4C26"/>
    <w:rsid w:val="00BE21B9"/>
    <w:rsid w:val="00BE38C1"/>
    <w:rsid w:val="00BE57C3"/>
    <w:rsid w:val="00BF0CDB"/>
    <w:rsid w:val="00BF56B6"/>
    <w:rsid w:val="00C00D55"/>
    <w:rsid w:val="00C12545"/>
    <w:rsid w:val="00C17250"/>
    <w:rsid w:val="00C25E64"/>
    <w:rsid w:val="00C304C5"/>
    <w:rsid w:val="00C37F8B"/>
    <w:rsid w:val="00C53D87"/>
    <w:rsid w:val="00C560A0"/>
    <w:rsid w:val="00C60101"/>
    <w:rsid w:val="00C6156D"/>
    <w:rsid w:val="00C61F08"/>
    <w:rsid w:val="00C657CF"/>
    <w:rsid w:val="00C657E7"/>
    <w:rsid w:val="00C65C4D"/>
    <w:rsid w:val="00C70A46"/>
    <w:rsid w:val="00C73DE6"/>
    <w:rsid w:val="00C7441D"/>
    <w:rsid w:val="00C8380F"/>
    <w:rsid w:val="00C9268A"/>
    <w:rsid w:val="00CA317D"/>
    <w:rsid w:val="00CB31E1"/>
    <w:rsid w:val="00CC586D"/>
    <w:rsid w:val="00CC613A"/>
    <w:rsid w:val="00CD6864"/>
    <w:rsid w:val="00CE3D7F"/>
    <w:rsid w:val="00CF38FE"/>
    <w:rsid w:val="00CF4220"/>
    <w:rsid w:val="00CF5E48"/>
    <w:rsid w:val="00CF68BE"/>
    <w:rsid w:val="00D03A25"/>
    <w:rsid w:val="00D03E41"/>
    <w:rsid w:val="00D12282"/>
    <w:rsid w:val="00D21470"/>
    <w:rsid w:val="00D266A3"/>
    <w:rsid w:val="00D317DC"/>
    <w:rsid w:val="00D35E22"/>
    <w:rsid w:val="00D42298"/>
    <w:rsid w:val="00D43ED1"/>
    <w:rsid w:val="00D515C3"/>
    <w:rsid w:val="00D5210C"/>
    <w:rsid w:val="00D60AE2"/>
    <w:rsid w:val="00D60B04"/>
    <w:rsid w:val="00D8069B"/>
    <w:rsid w:val="00D80AFB"/>
    <w:rsid w:val="00DA119D"/>
    <w:rsid w:val="00DB4235"/>
    <w:rsid w:val="00DB6A5F"/>
    <w:rsid w:val="00DC3087"/>
    <w:rsid w:val="00DD201B"/>
    <w:rsid w:val="00DD364F"/>
    <w:rsid w:val="00DD5891"/>
    <w:rsid w:val="00DE4EAE"/>
    <w:rsid w:val="00DE7F78"/>
    <w:rsid w:val="00DF0BC8"/>
    <w:rsid w:val="00DF295C"/>
    <w:rsid w:val="00E0104B"/>
    <w:rsid w:val="00E016B4"/>
    <w:rsid w:val="00E124F3"/>
    <w:rsid w:val="00E166EE"/>
    <w:rsid w:val="00E23F72"/>
    <w:rsid w:val="00E253F8"/>
    <w:rsid w:val="00E35B5D"/>
    <w:rsid w:val="00E44156"/>
    <w:rsid w:val="00E50556"/>
    <w:rsid w:val="00E51993"/>
    <w:rsid w:val="00E5509D"/>
    <w:rsid w:val="00E64AEF"/>
    <w:rsid w:val="00E70EA0"/>
    <w:rsid w:val="00E71508"/>
    <w:rsid w:val="00E83A00"/>
    <w:rsid w:val="00E86328"/>
    <w:rsid w:val="00E86603"/>
    <w:rsid w:val="00EA08CC"/>
    <w:rsid w:val="00EA2CB3"/>
    <w:rsid w:val="00ED30A4"/>
    <w:rsid w:val="00EF0DDE"/>
    <w:rsid w:val="00F01ECB"/>
    <w:rsid w:val="00F04DD8"/>
    <w:rsid w:val="00F14BA8"/>
    <w:rsid w:val="00F25799"/>
    <w:rsid w:val="00F47071"/>
    <w:rsid w:val="00F70FC8"/>
    <w:rsid w:val="00F729EF"/>
    <w:rsid w:val="00F85D59"/>
    <w:rsid w:val="00F92E17"/>
    <w:rsid w:val="00FA686D"/>
    <w:rsid w:val="00FB0FBA"/>
    <w:rsid w:val="00FB1CC9"/>
    <w:rsid w:val="00FC0859"/>
    <w:rsid w:val="00FC55A9"/>
    <w:rsid w:val="00FD0021"/>
    <w:rsid w:val="00FD6575"/>
    <w:rsid w:val="00FE20B2"/>
    <w:rsid w:val="00FE6EAC"/>
    <w:rsid w:val="00FF0769"/>
    <w:rsid w:val="00FF149B"/>
    <w:rsid w:val="075925D8"/>
    <w:rsid w:val="0D87EECE"/>
    <w:rsid w:val="1EB8D18D"/>
    <w:rsid w:val="2444D00A"/>
    <w:rsid w:val="26B34547"/>
    <w:rsid w:val="283C1E16"/>
    <w:rsid w:val="2A27028F"/>
    <w:rsid w:val="2B3D54A8"/>
    <w:rsid w:val="30164B5E"/>
    <w:rsid w:val="33C58702"/>
    <w:rsid w:val="395B5401"/>
    <w:rsid w:val="3F74F713"/>
    <w:rsid w:val="3FD78F4F"/>
    <w:rsid w:val="42573DAA"/>
    <w:rsid w:val="49C6062D"/>
    <w:rsid w:val="4B031912"/>
    <w:rsid w:val="50759D0C"/>
    <w:rsid w:val="51769575"/>
    <w:rsid w:val="54F2F469"/>
    <w:rsid w:val="551E29F6"/>
    <w:rsid w:val="57D5EF23"/>
    <w:rsid w:val="5BF28A92"/>
    <w:rsid w:val="62AA30B3"/>
    <w:rsid w:val="63C1C0CF"/>
    <w:rsid w:val="655C9355"/>
    <w:rsid w:val="6A44D0AC"/>
    <w:rsid w:val="6CA5A845"/>
    <w:rsid w:val="6D4B8378"/>
    <w:rsid w:val="6E7FD11F"/>
    <w:rsid w:val="701148CA"/>
    <w:rsid w:val="701C8690"/>
    <w:rsid w:val="706D4112"/>
    <w:rsid w:val="7306054E"/>
    <w:rsid w:val="7CF5367F"/>
    <w:rsid w:val="7DC59CD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84D084"/>
  <w15:docId w15:val="{19602C19-7621-44A6-9A46-A5689C04F5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0518"/>
    <w:rPr>
      <w:rFonts w:ascii="Times New Roman" w:eastAsia="Times New Roman" w:hAnsi="Times New Roman" w:cs="Times New Roman"/>
    </w:rPr>
  </w:style>
  <w:style w:type="paragraph" w:styleId="Heading1">
    <w:name w:val="heading 1"/>
    <w:basedOn w:val="Normal"/>
    <w:uiPriority w:val="9"/>
    <w:qFormat/>
    <w:pPr>
      <w:ind w:left="100"/>
      <w:jc w:val="both"/>
      <w:outlineLvl w:val="0"/>
    </w:pPr>
    <w:rPr>
      <w:b/>
      <w:bCs/>
      <w:sz w:val="24"/>
      <w:szCs w:val="24"/>
    </w:rPr>
  </w:style>
  <w:style w:type="paragraph" w:styleId="Heading2">
    <w:name w:val="heading 2"/>
    <w:basedOn w:val="Normal"/>
    <w:next w:val="Normal"/>
    <w:link w:val="Heading2Char"/>
    <w:uiPriority w:val="9"/>
    <w:semiHidden/>
    <w:unhideWhenUsed/>
    <w:qFormat/>
    <w:rsid w:val="000730C5"/>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380617"/>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0730C5"/>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0730C5"/>
    <w:pPr>
      <w:keepNext/>
      <w:keepLines/>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0730C5"/>
    <w:pPr>
      <w:keepNext/>
      <w:keepLines/>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0730C5"/>
    <w:pPr>
      <w:keepNext/>
      <w:keepLines/>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0730C5"/>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0730C5"/>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aliases w:val="List Item,Párrafo de lista Tachyon,Colorful List - Accent 11,Light Grid - Accent 31,Premier,Colorful List Accent 1,Párrafo de lista1,リスト段落1,Plan,Dot pt,????,????1,Liste 1,Puces,References,- List tir,List Bullet Mary,AB List 1,Bullet List"/>
    <w:basedOn w:val="Normal"/>
    <w:link w:val="ListParagraphChar"/>
    <w:uiPriority w:val="34"/>
    <w:qFormat/>
  </w:style>
  <w:style w:type="paragraph" w:customStyle="1" w:styleId="TableParagraph">
    <w:name w:val="Table Paragraph"/>
    <w:basedOn w:val="Normal"/>
    <w:uiPriority w:val="1"/>
    <w:qFormat/>
    <w:pPr>
      <w:spacing w:before="44" w:line="257" w:lineRule="exact"/>
      <w:jc w:val="right"/>
    </w:pPr>
  </w:style>
  <w:style w:type="paragraph" w:styleId="Revision">
    <w:name w:val="Revision"/>
    <w:hidden/>
    <w:uiPriority w:val="99"/>
    <w:semiHidden/>
    <w:rsid w:val="00C00D55"/>
    <w:pPr>
      <w:widowControl/>
      <w:autoSpaceDE/>
      <w:autoSpaceDN/>
    </w:pPr>
    <w:rPr>
      <w:rFonts w:ascii="Times New Roman" w:eastAsia="Times New Roman" w:hAnsi="Times New Roman" w:cs="Times New Roman"/>
    </w:rPr>
  </w:style>
  <w:style w:type="character" w:customStyle="1" w:styleId="Heading3Char">
    <w:name w:val="Heading 3 Char"/>
    <w:basedOn w:val="DefaultParagraphFont"/>
    <w:link w:val="Heading3"/>
    <w:uiPriority w:val="9"/>
    <w:semiHidden/>
    <w:rsid w:val="00380617"/>
    <w:rPr>
      <w:rFonts w:asciiTheme="majorHAnsi" w:eastAsiaTheme="majorEastAsia" w:hAnsiTheme="majorHAnsi" w:cstheme="majorBidi"/>
      <w:color w:val="243F60" w:themeColor="accent1" w:themeShade="7F"/>
      <w:sz w:val="24"/>
      <w:szCs w:val="24"/>
    </w:rPr>
  </w:style>
  <w:style w:type="paragraph" w:styleId="NormalWeb">
    <w:name w:val="Normal (Web)"/>
    <w:basedOn w:val="Normal"/>
    <w:uiPriority w:val="99"/>
    <w:unhideWhenUsed/>
    <w:rsid w:val="00380617"/>
    <w:pPr>
      <w:widowControl/>
      <w:autoSpaceDE/>
      <w:autoSpaceDN/>
      <w:spacing w:before="100" w:beforeAutospacing="1" w:after="100" w:afterAutospacing="1"/>
    </w:pPr>
    <w:rPr>
      <w:sz w:val="24"/>
      <w:szCs w:val="24"/>
      <w:lang w:eastAsia="en-GB"/>
    </w:rPr>
  </w:style>
  <w:style w:type="paragraph" w:customStyle="1" w:styleId="pdq2pgselectionanchorcontainer">
    <w:name w:val="pdq2pg_selectionanchorcontainer"/>
    <w:basedOn w:val="Normal"/>
    <w:rsid w:val="008B749D"/>
    <w:pPr>
      <w:widowControl/>
      <w:autoSpaceDE/>
      <w:autoSpaceDN/>
      <w:spacing w:before="100" w:beforeAutospacing="1" w:after="100" w:afterAutospacing="1"/>
    </w:pPr>
    <w:rPr>
      <w:sz w:val="24"/>
      <w:szCs w:val="24"/>
      <w:lang w:eastAsia="en-GB"/>
    </w:rPr>
  </w:style>
  <w:style w:type="character" w:styleId="Strong">
    <w:name w:val="Strong"/>
    <w:basedOn w:val="DefaultParagraphFont"/>
    <w:uiPriority w:val="22"/>
    <w:qFormat/>
    <w:rsid w:val="003E1131"/>
    <w:rPr>
      <w:b/>
      <w:bCs/>
    </w:rPr>
  </w:style>
  <w:style w:type="paragraph" w:styleId="z-TopofForm">
    <w:name w:val="HTML Top of Form"/>
    <w:basedOn w:val="Normal"/>
    <w:next w:val="Normal"/>
    <w:link w:val="z-TopofFormChar"/>
    <w:hidden/>
    <w:uiPriority w:val="99"/>
    <w:semiHidden/>
    <w:unhideWhenUsed/>
    <w:rsid w:val="003E1131"/>
    <w:pPr>
      <w:widowControl/>
      <w:pBdr>
        <w:bottom w:val="single" w:sz="6" w:space="1" w:color="auto"/>
      </w:pBdr>
      <w:autoSpaceDE/>
      <w:autoSpaceDN/>
      <w:jc w:val="center"/>
    </w:pPr>
    <w:rPr>
      <w:rFonts w:ascii="Arial" w:hAnsi="Arial" w:cs="Arial"/>
      <w:vanish/>
      <w:sz w:val="16"/>
      <w:szCs w:val="16"/>
      <w:lang w:eastAsia="en-GB"/>
    </w:rPr>
  </w:style>
  <w:style w:type="character" w:customStyle="1" w:styleId="z-TopofFormChar">
    <w:name w:val="z-Top of Form Char"/>
    <w:basedOn w:val="DefaultParagraphFont"/>
    <w:link w:val="z-TopofForm"/>
    <w:uiPriority w:val="99"/>
    <w:semiHidden/>
    <w:rsid w:val="003E1131"/>
    <w:rPr>
      <w:rFonts w:ascii="Arial" w:eastAsia="Times New Roman" w:hAnsi="Arial" w:cs="Arial"/>
      <w:vanish/>
      <w:sz w:val="16"/>
      <w:szCs w:val="16"/>
      <w:lang w:eastAsia="en-GB"/>
    </w:rPr>
  </w:style>
  <w:style w:type="paragraph" w:styleId="z-BottomofForm">
    <w:name w:val="HTML Bottom of Form"/>
    <w:basedOn w:val="Normal"/>
    <w:next w:val="Normal"/>
    <w:link w:val="z-BottomofFormChar"/>
    <w:hidden/>
    <w:uiPriority w:val="99"/>
    <w:semiHidden/>
    <w:unhideWhenUsed/>
    <w:rsid w:val="003E1131"/>
    <w:pPr>
      <w:widowControl/>
      <w:pBdr>
        <w:top w:val="single" w:sz="6" w:space="1" w:color="auto"/>
      </w:pBdr>
      <w:autoSpaceDE/>
      <w:autoSpaceDN/>
      <w:jc w:val="center"/>
    </w:pPr>
    <w:rPr>
      <w:rFonts w:ascii="Arial" w:hAnsi="Arial" w:cs="Arial"/>
      <w:vanish/>
      <w:sz w:val="16"/>
      <w:szCs w:val="16"/>
      <w:lang w:eastAsia="en-GB"/>
    </w:rPr>
  </w:style>
  <w:style w:type="character" w:customStyle="1" w:styleId="z-BottomofFormChar">
    <w:name w:val="z-Bottom of Form Char"/>
    <w:basedOn w:val="DefaultParagraphFont"/>
    <w:link w:val="z-BottomofForm"/>
    <w:uiPriority w:val="99"/>
    <w:semiHidden/>
    <w:rsid w:val="003E1131"/>
    <w:rPr>
      <w:rFonts w:ascii="Arial" w:eastAsia="Times New Roman" w:hAnsi="Arial" w:cs="Arial"/>
      <w:vanish/>
      <w:sz w:val="16"/>
      <w:szCs w:val="16"/>
      <w:lang w:eastAsia="en-GB"/>
    </w:rPr>
  </w:style>
  <w:style w:type="character" w:styleId="BookTitle">
    <w:name w:val="Book Title"/>
    <w:basedOn w:val="DefaultParagraphFont"/>
    <w:uiPriority w:val="33"/>
    <w:qFormat/>
    <w:rsid w:val="000730C5"/>
    <w:rPr>
      <w:b/>
      <w:bCs/>
      <w:i/>
      <w:iCs/>
      <w:spacing w:val="5"/>
    </w:rPr>
  </w:style>
  <w:style w:type="paragraph" w:styleId="Caption">
    <w:name w:val="caption"/>
    <w:basedOn w:val="Normal"/>
    <w:next w:val="Normal"/>
    <w:uiPriority w:val="35"/>
    <w:semiHidden/>
    <w:unhideWhenUsed/>
    <w:qFormat/>
    <w:rsid w:val="000730C5"/>
    <w:pPr>
      <w:spacing w:after="200"/>
    </w:pPr>
    <w:rPr>
      <w:i/>
      <w:iCs/>
      <w:color w:val="1F497D" w:themeColor="text2"/>
      <w:sz w:val="18"/>
      <w:szCs w:val="18"/>
    </w:rPr>
  </w:style>
  <w:style w:type="character" w:styleId="Emphasis">
    <w:name w:val="Emphasis"/>
    <w:basedOn w:val="DefaultParagraphFont"/>
    <w:uiPriority w:val="20"/>
    <w:qFormat/>
    <w:rsid w:val="000730C5"/>
    <w:rPr>
      <w:i/>
      <w:iCs/>
    </w:rPr>
  </w:style>
  <w:style w:type="character" w:customStyle="1" w:styleId="Heading2Char">
    <w:name w:val="Heading 2 Char"/>
    <w:basedOn w:val="DefaultParagraphFont"/>
    <w:link w:val="Heading2"/>
    <w:uiPriority w:val="9"/>
    <w:semiHidden/>
    <w:rsid w:val="000730C5"/>
    <w:rPr>
      <w:rFonts w:asciiTheme="majorHAnsi" w:eastAsiaTheme="majorEastAsia" w:hAnsiTheme="majorHAnsi" w:cstheme="majorBidi"/>
      <w:color w:val="365F91" w:themeColor="accent1" w:themeShade="BF"/>
      <w:sz w:val="26"/>
      <w:szCs w:val="26"/>
    </w:rPr>
  </w:style>
  <w:style w:type="character" w:customStyle="1" w:styleId="Heading4Char">
    <w:name w:val="Heading 4 Char"/>
    <w:basedOn w:val="DefaultParagraphFont"/>
    <w:link w:val="Heading4"/>
    <w:uiPriority w:val="9"/>
    <w:semiHidden/>
    <w:rsid w:val="000730C5"/>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uiPriority w:val="9"/>
    <w:semiHidden/>
    <w:rsid w:val="000730C5"/>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uiPriority w:val="9"/>
    <w:semiHidden/>
    <w:rsid w:val="000730C5"/>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uiPriority w:val="9"/>
    <w:semiHidden/>
    <w:rsid w:val="000730C5"/>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0730C5"/>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0730C5"/>
    <w:rPr>
      <w:rFonts w:asciiTheme="majorHAnsi" w:eastAsiaTheme="majorEastAsia" w:hAnsiTheme="majorHAnsi" w:cstheme="majorBidi"/>
      <w:i/>
      <w:iCs/>
      <w:color w:val="272727" w:themeColor="text1" w:themeTint="D8"/>
      <w:sz w:val="21"/>
      <w:szCs w:val="21"/>
    </w:rPr>
  </w:style>
  <w:style w:type="character" w:styleId="IntenseEmphasis">
    <w:name w:val="Intense Emphasis"/>
    <w:basedOn w:val="DefaultParagraphFont"/>
    <w:uiPriority w:val="21"/>
    <w:qFormat/>
    <w:rsid w:val="000730C5"/>
    <w:rPr>
      <w:i/>
      <w:iCs/>
      <w:color w:val="4F81BD" w:themeColor="accent1"/>
    </w:rPr>
  </w:style>
  <w:style w:type="paragraph" w:styleId="IntenseQuote">
    <w:name w:val="Intense Quote"/>
    <w:basedOn w:val="Normal"/>
    <w:next w:val="Normal"/>
    <w:link w:val="IntenseQuoteChar"/>
    <w:uiPriority w:val="30"/>
    <w:qFormat/>
    <w:rsid w:val="000730C5"/>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0730C5"/>
    <w:rPr>
      <w:rFonts w:ascii="Times New Roman" w:eastAsia="Times New Roman" w:hAnsi="Times New Roman" w:cs="Times New Roman"/>
      <w:i/>
      <w:iCs/>
      <w:color w:val="4F81BD" w:themeColor="accent1"/>
    </w:rPr>
  </w:style>
  <w:style w:type="character" w:styleId="IntenseReference">
    <w:name w:val="Intense Reference"/>
    <w:basedOn w:val="DefaultParagraphFont"/>
    <w:uiPriority w:val="32"/>
    <w:qFormat/>
    <w:rsid w:val="000730C5"/>
    <w:rPr>
      <w:b/>
      <w:bCs/>
      <w:smallCaps/>
      <w:color w:val="4F81BD" w:themeColor="accent1"/>
      <w:spacing w:val="5"/>
    </w:rPr>
  </w:style>
  <w:style w:type="paragraph" w:styleId="NoSpacing">
    <w:name w:val="No Spacing"/>
    <w:uiPriority w:val="1"/>
    <w:qFormat/>
    <w:rsid w:val="000730C5"/>
    <w:rPr>
      <w:rFonts w:ascii="Times New Roman" w:eastAsia="Times New Roman" w:hAnsi="Times New Roman" w:cs="Times New Roman"/>
    </w:rPr>
  </w:style>
  <w:style w:type="paragraph" w:styleId="Quote">
    <w:name w:val="Quote"/>
    <w:basedOn w:val="Normal"/>
    <w:next w:val="Normal"/>
    <w:link w:val="QuoteChar"/>
    <w:uiPriority w:val="29"/>
    <w:qFormat/>
    <w:rsid w:val="000730C5"/>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0730C5"/>
    <w:rPr>
      <w:rFonts w:ascii="Times New Roman" w:eastAsia="Times New Roman" w:hAnsi="Times New Roman" w:cs="Times New Roman"/>
      <w:i/>
      <w:iCs/>
      <w:color w:val="404040" w:themeColor="text1" w:themeTint="BF"/>
    </w:rPr>
  </w:style>
  <w:style w:type="paragraph" w:styleId="Subtitle">
    <w:name w:val="Subtitle"/>
    <w:basedOn w:val="Normal"/>
    <w:next w:val="Normal"/>
    <w:link w:val="SubtitleChar"/>
    <w:uiPriority w:val="11"/>
    <w:qFormat/>
    <w:rsid w:val="000730C5"/>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0730C5"/>
    <w:rPr>
      <w:rFonts w:eastAsiaTheme="minorEastAsia"/>
      <w:color w:val="5A5A5A" w:themeColor="text1" w:themeTint="A5"/>
      <w:spacing w:val="15"/>
    </w:rPr>
  </w:style>
  <w:style w:type="character" w:styleId="SubtleEmphasis">
    <w:name w:val="Subtle Emphasis"/>
    <w:basedOn w:val="DefaultParagraphFont"/>
    <w:uiPriority w:val="19"/>
    <w:qFormat/>
    <w:rsid w:val="000730C5"/>
    <w:rPr>
      <w:i/>
      <w:iCs/>
      <w:color w:val="404040" w:themeColor="text1" w:themeTint="BF"/>
    </w:rPr>
  </w:style>
  <w:style w:type="character" w:styleId="SubtleReference">
    <w:name w:val="Subtle Reference"/>
    <w:basedOn w:val="DefaultParagraphFont"/>
    <w:uiPriority w:val="31"/>
    <w:qFormat/>
    <w:rsid w:val="000730C5"/>
    <w:rPr>
      <w:smallCaps/>
      <w:color w:val="5A5A5A" w:themeColor="text1" w:themeTint="A5"/>
    </w:rPr>
  </w:style>
  <w:style w:type="paragraph" w:styleId="Title">
    <w:name w:val="Title"/>
    <w:basedOn w:val="Normal"/>
    <w:next w:val="Normal"/>
    <w:link w:val="TitleChar"/>
    <w:uiPriority w:val="10"/>
    <w:qFormat/>
    <w:rsid w:val="000730C5"/>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730C5"/>
    <w:rPr>
      <w:rFonts w:asciiTheme="majorHAnsi" w:eastAsiaTheme="majorEastAsia" w:hAnsiTheme="majorHAnsi" w:cstheme="majorBidi"/>
      <w:spacing w:val="-10"/>
      <w:kern w:val="28"/>
      <w:sz w:val="56"/>
      <w:szCs w:val="56"/>
    </w:rPr>
  </w:style>
  <w:style w:type="paragraph" w:styleId="TOCHeading">
    <w:name w:val="TOC Heading"/>
    <w:basedOn w:val="Heading1"/>
    <w:next w:val="Normal"/>
    <w:uiPriority w:val="39"/>
    <w:semiHidden/>
    <w:unhideWhenUsed/>
    <w:qFormat/>
    <w:rsid w:val="000730C5"/>
    <w:pPr>
      <w:keepNext/>
      <w:keepLines/>
      <w:spacing w:before="240"/>
      <w:ind w:left="0"/>
      <w:jc w:val="left"/>
      <w:outlineLvl w:val="9"/>
    </w:pPr>
    <w:rPr>
      <w:rFonts w:asciiTheme="majorHAnsi" w:eastAsiaTheme="majorEastAsia" w:hAnsiTheme="majorHAnsi" w:cstheme="majorBidi"/>
      <w:b w:val="0"/>
      <w:bCs w:val="0"/>
      <w:color w:val="365F91" w:themeColor="accent1" w:themeShade="BF"/>
      <w:sz w:val="32"/>
      <w:szCs w:val="32"/>
    </w:rPr>
  </w:style>
  <w:style w:type="paragraph" w:styleId="Header">
    <w:name w:val="header"/>
    <w:basedOn w:val="Normal"/>
    <w:link w:val="HeaderChar"/>
    <w:uiPriority w:val="99"/>
    <w:unhideWhenUsed/>
    <w:rsid w:val="00842A15"/>
    <w:pPr>
      <w:tabs>
        <w:tab w:val="center" w:pos="4513"/>
        <w:tab w:val="right" w:pos="9026"/>
      </w:tabs>
    </w:pPr>
  </w:style>
  <w:style w:type="character" w:customStyle="1" w:styleId="HeaderChar">
    <w:name w:val="Header Char"/>
    <w:basedOn w:val="DefaultParagraphFont"/>
    <w:link w:val="Header"/>
    <w:uiPriority w:val="99"/>
    <w:rsid w:val="00842A15"/>
    <w:rPr>
      <w:rFonts w:ascii="Times New Roman" w:eastAsia="Times New Roman" w:hAnsi="Times New Roman" w:cs="Times New Roman"/>
    </w:rPr>
  </w:style>
  <w:style w:type="paragraph" w:styleId="Footer">
    <w:name w:val="footer"/>
    <w:basedOn w:val="Normal"/>
    <w:link w:val="FooterChar"/>
    <w:uiPriority w:val="99"/>
    <w:unhideWhenUsed/>
    <w:rsid w:val="00842A15"/>
    <w:pPr>
      <w:tabs>
        <w:tab w:val="center" w:pos="4513"/>
        <w:tab w:val="right" w:pos="9026"/>
      </w:tabs>
    </w:pPr>
  </w:style>
  <w:style w:type="character" w:customStyle="1" w:styleId="FooterChar">
    <w:name w:val="Footer Char"/>
    <w:basedOn w:val="DefaultParagraphFont"/>
    <w:link w:val="Footer"/>
    <w:uiPriority w:val="99"/>
    <w:rsid w:val="00842A15"/>
    <w:rPr>
      <w:rFonts w:ascii="Times New Roman" w:eastAsia="Times New Roman" w:hAnsi="Times New Roman" w:cs="Times New Roman"/>
    </w:rPr>
  </w:style>
  <w:style w:type="character" w:styleId="PageNumber">
    <w:name w:val="page number"/>
    <w:basedOn w:val="DefaultParagraphFont"/>
    <w:uiPriority w:val="99"/>
    <w:semiHidden/>
    <w:unhideWhenUsed/>
    <w:rsid w:val="00291BF0"/>
  </w:style>
  <w:style w:type="character" w:customStyle="1" w:styleId="ListParagraphChar">
    <w:name w:val="List Paragraph Char"/>
    <w:aliases w:val="List Item Char,Párrafo de lista Tachyon Char,Colorful List - Accent 11 Char,Light Grid - Accent 31 Char,Premier Char,Colorful List Accent 1 Char,Párrafo de lista1 Char,リスト段落1 Char,Plan Char,Dot pt Char,???? Char,????1 Char,Puces Char"/>
    <w:basedOn w:val="DefaultParagraphFont"/>
    <w:link w:val="ListParagraph"/>
    <w:uiPriority w:val="34"/>
    <w:qFormat/>
    <w:rsid w:val="005544DE"/>
    <w:rPr>
      <w:rFonts w:ascii="Times New Roman" w:eastAsia="Times New Roman" w:hAnsi="Times New Roman" w:cs="Times New Roman"/>
    </w:rPr>
  </w:style>
  <w:style w:type="character" w:styleId="Hyperlink">
    <w:name w:val="Hyperlink"/>
    <w:basedOn w:val="DefaultParagraphFont"/>
    <w:uiPriority w:val="99"/>
    <w:unhideWhenUsed/>
    <w:rsid w:val="002C0518"/>
    <w:rPr>
      <w:color w:val="0000FF" w:themeColor="hyperlink"/>
      <w:u w:val="single"/>
    </w:rPr>
  </w:style>
  <w:style w:type="character" w:styleId="UnresolvedMention">
    <w:name w:val="Unresolved Mention"/>
    <w:basedOn w:val="DefaultParagraphFont"/>
    <w:uiPriority w:val="99"/>
    <w:semiHidden/>
    <w:unhideWhenUsed/>
    <w:rsid w:val="002C0518"/>
    <w:rPr>
      <w:color w:val="605E5C"/>
      <w:shd w:val="clear" w:color="auto" w:fill="E1DFDD"/>
    </w:rPr>
  </w:style>
  <w:style w:type="character" w:styleId="FollowedHyperlink">
    <w:name w:val="FollowedHyperlink"/>
    <w:basedOn w:val="DefaultParagraphFont"/>
    <w:uiPriority w:val="99"/>
    <w:semiHidden/>
    <w:unhideWhenUsed/>
    <w:rsid w:val="000B7CF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867869915">
      <w:bodyDiv w:val="1"/>
      <w:marLeft w:val="0"/>
      <w:marRight w:val="0"/>
      <w:marTop w:val="0"/>
      <w:marBottom w:val="0"/>
      <w:divBdr>
        <w:top w:val="none" w:sz="0" w:space="0" w:color="auto"/>
        <w:left w:val="none" w:sz="0" w:space="0" w:color="auto"/>
        <w:bottom w:val="none" w:sz="0" w:space="0" w:color="auto"/>
        <w:right w:val="none" w:sz="0" w:space="0" w:color="auto"/>
      </w:divBdr>
    </w:div>
    <w:div w:id="1936935468">
      <w:bodyDiv w:val="1"/>
      <w:marLeft w:val="0"/>
      <w:marRight w:val="0"/>
      <w:marTop w:val="0"/>
      <w:marBottom w:val="0"/>
      <w:divBdr>
        <w:top w:val="none" w:sz="0" w:space="0" w:color="auto"/>
        <w:left w:val="none" w:sz="0" w:space="0" w:color="auto"/>
        <w:bottom w:val="none" w:sz="0" w:space="0" w:color="auto"/>
        <w:right w:val="none" w:sz="0" w:space="0" w:color="auto"/>
      </w:divBdr>
    </w:div>
    <w:div w:id="2142533517">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webSettings>
</file>

<file path=word/_rels/document.xml.rels><?xml version="1.0" encoding="UTF-8" standalone="yes"?>
<Relationships xmlns="http://schemas.openxmlformats.org/package/2006/relationships"><Relationship Id="rId8" Type="http://schemas.openxmlformats.org/officeDocument/2006/relationships/hyperlink" Target="https://www.ca.go.ke/consumer-complaint"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ca.go.ke/consumer-education-outreach-0"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chukuahatua@ca.go.ke"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c32050e9-7659-41e5-a72c-118fae68794a}" enabled="1" method="Privileged" siteId="{cbc4f560-79f7-4ef7-ad07-430f203044a5}"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12</Pages>
  <Words>3450</Words>
  <Characters>23496</Characters>
  <Application>Microsoft Office Word</Application>
  <DocSecurity>0</DocSecurity>
  <Lines>810</Lines>
  <Paragraphs>408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26538</CharactersWithSpaces>
  <SharedDoc>false</SharedDoc>
  <HLinks>
    <vt:vector size="18" baseType="variant">
      <vt:variant>
        <vt:i4>3473492</vt:i4>
      </vt:variant>
      <vt:variant>
        <vt:i4>6</vt:i4>
      </vt:variant>
      <vt:variant>
        <vt:i4>0</vt:i4>
      </vt:variant>
      <vt:variant>
        <vt:i4>5</vt:i4>
      </vt:variant>
      <vt:variant>
        <vt:lpwstr>mailto:chukuahatua@ca.go.ke</vt:lpwstr>
      </vt:variant>
      <vt:variant>
        <vt:lpwstr/>
      </vt:variant>
      <vt:variant>
        <vt:i4>2424878</vt:i4>
      </vt:variant>
      <vt:variant>
        <vt:i4>3</vt:i4>
      </vt:variant>
      <vt:variant>
        <vt:i4>0</vt:i4>
      </vt:variant>
      <vt:variant>
        <vt:i4>5</vt:i4>
      </vt:variant>
      <vt:variant>
        <vt:lpwstr>https://www.ca.go.ke/consumer-complaint</vt:lpwstr>
      </vt:variant>
      <vt:variant>
        <vt:lpwstr/>
      </vt:variant>
      <vt:variant>
        <vt:i4>3801187</vt:i4>
      </vt:variant>
      <vt:variant>
        <vt:i4>0</vt:i4>
      </vt:variant>
      <vt:variant>
        <vt:i4>0</vt:i4>
      </vt:variant>
      <vt:variant>
        <vt:i4>5</vt:i4>
      </vt:variant>
      <vt:variant>
        <vt:lpwstr>https://www.ca.go.ke/consumer-education-outreach-0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ooro</dc:creator>
  <cp:keywords/>
  <cp:lastModifiedBy>Derrick Mugalo</cp:lastModifiedBy>
  <cp:revision>2</cp:revision>
  <cp:lastPrinted>2026-07-29T05:49:00Z</cp:lastPrinted>
  <dcterms:created xsi:type="dcterms:W3CDTF">2026-08-05T06:23:00Z</dcterms:created>
  <dcterms:modified xsi:type="dcterms:W3CDTF">2026-08-05T06:23:00Z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2023-07-26T00:00:00Z</vt:filetime>
  </property>
  <property fmtid="{D5CDD505-2E9C-101B-9397-08002B2CF9AE}" pid="3" name="Creator">
    <vt:lpwstr>Acrobat PDFMaker 17 for Word</vt:lpwstr>
  </property>
  <property fmtid="{D5CDD505-2E9C-101B-9397-08002B2CF9AE}" pid="4" name="LastSaved">
    <vt:filetime>2024-01-11T00:00:00Z</vt:filetime>
  </property>
</Properties>
</file>